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sz w:val="28"/>
          <w:szCs w:val="28"/>
          <w:lang w:val="en-US" w:eastAsia="zh-CN"/>
        </w:rPr>
      </w:pPr>
      <w:r>
        <w:rPr>
          <w:rFonts w:hint="eastAsia"/>
          <w:sz w:val="28"/>
          <w:szCs w:val="28"/>
          <w:lang w:val="en-US" w:eastAsia="zh-CN"/>
        </w:rPr>
        <w:t>桂林市机电职业技术学校</w:t>
      </w:r>
    </w:p>
    <w:p>
      <w:pPr>
        <w:bidi w:val="0"/>
        <w:rPr>
          <w:rFonts w:hint="default" w:asciiTheme="minorAscii" w:hAnsiTheme="minorAsci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973"/>
        </w:tabs>
        <w:bidi w:val="0"/>
        <w:jc w:val="center"/>
        <w:rPr>
          <w:rFonts w:hint="eastAsia"/>
          <w:sz w:val="52"/>
          <w:szCs w:val="52"/>
          <w:lang w:val="en-US" w:eastAsia="zh-CN"/>
        </w:rPr>
      </w:pPr>
    </w:p>
    <w:p>
      <w:pPr>
        <w:tabs>
          <w:tab w:val="left" w:pos="973"/>
        </w:tabs>
        <w:bidi w:val="0"/>
        <w:jc w:val="center"/>
        <w:rPr>
          <w:rFonts w:hint="eastAsia"/>
          <w:sz w:val="52"/>
          <w:szCs w:val="52"/>
          <w:lang w:val="en-US" w:eastAsia="zh-CN"/>
        </w:rPr>
      </w:pPr>
    </w:p>
    <w:p>
      <w:pPr>
        <w:tabs>
          <w:tab w:val="left" w:pos="973"/>
        </w:tabs>
        <w:bidi w:val="0"/>
        <w:jc w:val="center"/>
        <w:rPr>
          <w:rFonts w:hint="eastAsia"/>
          <w:sz w:val="52"/>
          <w:szCs w:val="52"/>
          <w:lang w:val="en-US" w:eastAsia="zh-CN"/>
        </w:rPr>
      </w:pPr>
      <w:r>
        <w:rPr>
          <w:rFonts w:hint="eastAsia"/>
          <w:sz w:val="52"/>
          <w:szCs w:val="52"/>
          <w:lang w:val="en-US" w:eastAsia="zh-CN"/>
        </w:rPr>
        <w:t xml:space="preserve">临桂校区秋枫种植施工合同  </w:t>
      </w:r>
    </w:p>
    <w:p>
      <w:pPr>
        <w:tabs>
          <w:tab w:val="left" w:pos="973"/>
        </w:tabs>
        <w:bidi w:val="0"/>
        <w:jc w:val="center"/>
        <w:rPr>
          <w:rFonts w:hint="eastAsia"/>
          <w:sz w:val="52"/>
          <w:szCs w:val="52"/>
          <w:lang w:val="en-US" w:eastAsia="zh-CN"/>
        </w:rPr>
      </w:pPr>
    </w:p>
    <w:p>
      <w:pPr>
        <w:tabs>
          <w:tab w:val="left" w:pos="973"/>
        </w:tabs>
        <w:bidi w:val="0"/>
        <w:jc w:val="center"/>
        <w:rPr>
          <w:rFonts w:hint="default"/>
          <w:sz w:val="52"/>
          <w:szCs w:val="52"/>
          <w:lang w:val="en-US" w:eastAsia="zh-CN"/>
        </w:rPr>
      </w:pPr>
    </w:p>
    <w:p>
      <w:pPr>
        <w:tabs>
          <w:tab w:val="left" w:pos="973"/>
        </w:tabs>
        <w:bidi w:val="0"/>
        <w:jc w:val="left"/>
        <w:rPr>
          <w:rFonts w:hint="default"/>
          <w:lang w:val="en-US" w:eastAsia="zh-CN"/>
        </w:rPr>
      </w:pPr>
    </w:p>
    <w:p>
      <w:pPr>
        <w:bidi w:val="0"/>
        <w:rPr>
          <w:rFonts w:hint="default" w:asciiTheme="minorAscii" w:hAnsiTheme="minorAsci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88"/>
        </w:tabs>
        <w:bidi w:val="0"/>
        <w:jc w:val="left"/>
        <w:rPr>
          <w:rFonts w:hint="eastAsia"/>
          <w:sz w:val="28"/>
          <w:szCs w:val="28"/>
          <w:lang w:val="en-US" w:eastAsia="zh-CN"/>
        </w:rPr>
      </w:pPr>
      <w:r>
        <w:rPr>
          <w:rFonts w:hint="eastAsia"/>
          <w:lang w:val="en-US" w:eastAsia="zh-CN"/>
        </w:rPr>
        <w:tab/>
      </w:r>
      <w:r>
        <w:rPr>
          <w:rFonts w:hint="eastAsia"/>
          <w:sz w:val="28"/>
          <w:szCs w:val="28"/>
          <w:lang w:val="en-US" w:eastAsia="zh-CN"/>
        </w:rPr>
        <w:t>发包人：桂林市机电职业技术学校</w:t>
      </w:r>
    </w:p>
    <w:p>
      <w:pPr>
        <w:bidi w:val="0"/>
        <w:rPr>
          <w:rFonts w:hint="default" w:asciiTheme="minorAscii" w:hAnsiTheme="minorAscii" w:eastAsiaTheme="minorEastAsia" w:cstheme="minorBidi"/>
          <w:kern w:val="2"/>
          <w:sz w:val="21"/>
          <w:szCs w:val="24"/>
          <w:lang w:val="en-US" w:eastAsia="zh-CN" w:bidi="ar-SA"/>
        </w:rPr>
      </w:pPr>
    </w:p>
    <w:p>
      <w:pPr>
        <w:bidi w:val="0"/>
        <w:rPr>
          <w:rFonts w:hint="default"/>
          <w:lang w:val="en-US" w:eastAsia="zh-CN"/>
        </w:rPr>
      </w:pPr>
    </w:p>
    <w:p>
      <w:pPr>
        <w:tabs>
          <w:tab w:val="left" w:pos="838"/>
        </w:tabs>
        <w:bidi w:val="0"/>
        <w:ind w:firstLine="560" w:firstLineChars="200"/>
        <w:jc w:val="left"/>
        <w:rPr>
          <w:rFonts w:hint="default"/>
          <w:sz w:val="28"/>
          <w:szCs w:val="28"/>
          <w:lang w:val="en-US" w:eastAsia="zh-CN"/>
        </w:rPr>
      </w:pPr>
      <w:r>
        <w:rPr>
          <w:rFonts w:hint="eastAsia"/>
          <w:sz w:val="28"/>
          <w:szCs w:val="28"/>
          <w:lang w:val="en-US" w:eastAsia="zh-CN"/>
        </w:rPr>
        <w:t>承包人：</w:t>
      </w:r>
    </w:p>
    <w:p>
      <w:pPr>
        <w:tabs>
          <w:tab w:val="left" w:pos="838"/>
        </w:tabs>
        <w:bidi w:val="0"/>
        <w:jc w:val="left"/>
        <w:rPr>
          <w:rFonts w:hint="eastAsia"/>
          <w:sz w:val="28"/>
          <w:szCs w:val="28"/>
          <w:lang w:val="en-US" w:eastAsia="zh-CN"/>
        </w:rPr>
      </w:pPr>
    </w:p>
    <w:p>
      <w:pPr>
        <w:keepNext w:val="0"/>
        <w:keepLines w:val="0"/>
        <w:pageBreakBefore w:val="0"/>
        <w:widowControl w:val="0"/>
        <w:tabs>
          <w:tab w:val="left" w:pos="838"/>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甲方全称：</w:t>
      </w:r>
      <w:r>
        <w:rPr>
          <w:rFonts w:hint="eastAsia" w:ascii="宋体" w:hAnsi="宋体" w:eastAsia="宋体" w:cs="宋体"/>
          <w:sz w:val="28"/>
          <w:szCs w:val="28"/>
          <w:u w:val="single"/>
          <w:lang w:val="en-US" w:eastAsia="zh-CN"/>
        </w:rPr>
        <w:t>桂林市机电职业技术学校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承包人（全称）：</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依照 《中华人民共和国合同法》 ，《中华人民共和国建筑法》，《园林工程施工合同示范文本》（GF-1999-0201）及其他有关法律，行政法规，遵循平等、自愿、公平和诚实信用的原则双方就本建设工程施工事项协商一致，订立本合同。</w:t>
      </w:r>
    </w:p>
    <w:p>
      <w:pPr>
        <w:keepNext w:val="0"/>
        <w:keepLines w:val="0"/>
        <w:pageBreakBefore w:val="0"/>
        <w:widowControl w:val="0"/>
        <w:kinsoku/>
        <w:wordWrap/>
        <w:overflowPunct/>
        <w:topLinePunct w:val="0"/>
        <w:autoSpaceDE/>
        <w:autoSpaceDN/>
        <w:bidi w:val="0"/>
        <w:adjustRightInd/>
        <w:snapToGrid/>
        <w:spacing w:line="480" w:lineRule="exact"/>
        <w:ind w:firstLine="234"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第一条;工程概况</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工程名称：</w:t>
      </w:r>
      <w:r>
        <w:rPr>
          <w:rFonts w:hint="eastAsia" w:ascii="宋体" w:hAnsi="宋体" w:eastAsia="宋体" w:cs="宋体"/>
          <w:sz w:val="28"/>
          <w:szCs w:val="28"/>
          <w:u w:val="single"/>
          <w:lang w:val="en-US" w:eastAsia="zh-CN"/>
        </w:rPr>
        <w:t>桂林市机电职业技术学校临桂校区秋枫种植工程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2、工程地点：</w:t>
      </w:r>
      <w:r>
        <w:rPr>
          <w:rFonts w:hint="eastAsia" w:ascii="宋体" w:hAnsi="宋体" w:eastAsia="宋体" w:cs="宋体"/>
          <w:sz w:val="28"/>
          <w:szCs w:val="28"/>
          <w:u w:val="single"/>
          <w:lang w:val="en-US" w:eastAsia="zh-CN"/>
        </w:rPr>
        <w:t>桂林市机电职业技术学校临桂校区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3、工程描述及内容：临桂校区内种植秋枫树19株，树干直经18-22厘米，高约6米、树冠直经约5米。种植时每株施花生麸10斤，复合肥2斤，种植后养护一年，包成活，并进行支撑加固，避免被风吹倒。</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第二条：合同价款及付款方式</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预算合同价为:人民币  万   仟  佰  拾  元   整（</w:t>
      </w:r>
      <w:r>
        <w:rPr>
          <w:rFonts w:hint="eastAsia" w:ascii="宋体" w:hAnsi="宋体" w:eastAsia="宋体" w:cs="宋体"/>
          <w:sz w:val="28"/>
          <w:szCs w:val="28"/>
          <w:u w:val="single"/>
          <w:lang w:val="en-US" w:eastAsia="zh-CN"/>
        </w:rPr>
        <w:t xml:space="preserve">         元）</w:t>
      </w:r>
      <w:r>
        <w:rPr>
          <w:rFonts w:hint="eastAsia" w:ascii="宋体" w:hAnsi="宋体" w:eastAsia="宋体" w:cs="宋体"/>
          <w:sz w:val="28"/>
          <w:szCs w:val="28"/>
          <w:u w:val="none"/>
          <w:lang w:val="en-US" w:eastAsia="zh-CN"/>
        </w:rPr>
        <w:t>。合同价格形式为可调单价合同，结算按实际发生认可的工程量，单价及取费按施工期间广西现行定额及有关文件计价与乙方报价比较，取其中的低价作为结算价，并送桂林市财评中心评审后，按结算评审价结算。</w:t>
      </w:r>
    </w:p>
    <w:p>
      <w:pPr>
        <w:keepNext w:val="0"/>
        <w:keepLines w:val="0"/>
        <w:pageBreakBefore w:val="0"/>
        <w:widowControl w:val="0"/>
        <w:numPr>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根据现场和甲方要求定位开挖、如果挖的树坑泥土达不到养植标准则要置换合格养植土（为保证成活率）。结算时按增加项目以增加任务单或签证单，按实际完成的工作量，即甲方认可、最后结算以签证单为准结算。                                                                                                      如果要做设计变更处理、项目产生预算清单外的按实以签证单为准结算。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3、本工程施工使用的水电由甲方负责。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4、付款方式：本项目在乙方完成树种植后付合同价款的80%，余款在结算评审报告生效后1月内支付，</w:t>
      </w:r>
      <w:r>
        <w:rPr>
          <w:rFonts w:hint="eastAsia" w:ascii="宋体" w:hAnsi="宋体" w:eastAsia="宋体" w:cs="宋体"/>
          <w:sz w:val="28"/>
          <w:szCs w:val="28"/>
          <w:u w:val="none"/>
          <w:lang w:val="en-US" w:eastAsia="zh-CN"/>
        </w:rPr>
        <w:t>乙方必须提供全额工程发票正式税务发票普票。</w:t>
      </w:r>
    </w:p>
    <w:p>
      <w:pPr>
        <w:keepNext w:val="0"/>
        <w:keepLines w:val="0"/>
        <w:pageBreakBefore w:val="0"/>
        <w:widowControl w:val="0"/>
        <w:kinsoku/>
        <w:wordWrap/>
        <w:overflowPunct/>
        <w:topLinePunct w:val="0"/>
        <w:autoSpaceDE/>
        <w:autoSpaceDN/>
        <w:bidi w:val="0"/>
        <w:adjustRightInd/>
        <w:snapToGrid/>
        <w:spacing w:line="480" w:lineRule="exact"/>
        <w:ind w:firstLine="204"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第三条：工期、验收时间</w:t>
      </w:r>
    </w:p>
    <w:p>
      <w:pPr>
        <w:keepNext w:val="0"/>
        <w:keepLines w:val="0"/>
        <w:pageBreakBefore w:val="0"/>
        <w:widowControl w:val="0"/>
        <w:numPr>
          <w:ilvl w:val="0"/>
          <w:numId w:val="0"/>
        </w:numPr>
        <w:tabs>
          <w:tab w:val="left" w:pos="9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1、合同总工期为10天  。</w:t>
      </w:r>
    </w:p>
    <w:p>
      <w:pPr>
        <w:keepNext w:val="0"/>
        <w:keepLines w:val="0"/>
        <w:pageBreakBefore w:val="0"/>
        <w:widowControl w:val="0"/>
        <w:numPr>
          <w:ilvl w:val="0"/>
          <w:numId w:val="0"/>
        </w:numPr>
        <w:tabs>
          <w:tab w:val="left" w:pos="9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2、施工日期自2024</w:t>
      </w:r>
      <w:r>
        <w:rPr>
          <w:rFonts w:hint="eastAsia" w:ascii="宋体" w:hAnsi="宋体" w:eastAsia="宋体" w:cs="宋体"/>
          <w:sz w:val="28"/>
          <w:szCs w:val="28"/>
          <w:u w:val="single"/>
          <w:lang w:val="en-US" w:eastAsia="zh-CN"/>
        </w:rPr>
        <w:t>年 1月 11日至2024 年 1月 20日。</w:t>
      </w:r>
    </w:p>
    <w:p>
      <w:pPr>
        <w:keepNext w:val="0"/>
        <w:keepLines w:val="0"/>
        <w:pageBreakBefore w:val="0"/>
        <w:widowControl w:val="0"/>
        <w:tabs>
          <w:tab w:val="left" w:pos="1003"/>
        </w:tabs>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3、如遇下列情况，工期应该顺延：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1）、甲方不能按期提供开工条件的。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2）、甲方未按合同约定时间和数额拨付进度款的。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3）、其它不可抗力而影响工程进度的。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4、验收日期：工程完工后七天内进行验收。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第四条：质量及保修期限：</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1、执行标准按照《园林质量验收标准》等相关标准施工及验收。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2、工程竣工后，乙方应按规定对承包树木实行保养活，时间自通过验收之日算起、时间为壹年，一年内出现树木死亡、倒覆、树木停止生长的，乙方免费补种同规格树木。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3、地震、洪水等不可抗力的因素造成的任何质量问题，乙方概不承担任何责任。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第五条：验收：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1、乙方在对已完工项目自检合格并达到验收标准后，应及时向甲方书面提出工程验收，由甲方按质量验收规范组织验收，提出验收结论，并办理验收手续及工程交接手续。</w:t>
      </w:r>
    </w:p>
    <w:p>
      <w:pPr>
        <w:keepNext w:val="0"/>
        <w:keepLines w:val="0"/>
        <w:pageBreakBefore w:val="0"/>
        <w:widowControl w:val="0"/>
        <w:kinsoku/>
        <w:wordWrap/>
        <w:overflowPunct/>
        <w:topLinePunct w:val="0"/>
        <w:autoSpaceDE/>
        <w:autoSpaceDN/>
        <w:bidi w:val="0"/>
        <w:adjustRightInd/>
        <w:snapToGrid/>
        <w:spacing w:line="480" w:lineRule="exact"/>
        <w:ind w:firstLine="223"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2、在规定的保养期内，凡因乙方原因造成的质量缺陷应由乙方无条件负责。保养的条件，范围按照《园林质量管理条例》执行。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第六条：双方责任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1、甲方责任：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1）进行施工定位交底。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2）进行施工现场交底。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3）进行施工技术规范及质量要求交底。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派驻施工现场的管理员人，管理员为甲方相关业务部门负责人，对工程进度、工程质量和合同履行问题进行监督检查。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2、乙方责任：</w:t>
      </w:r>
    </w:p>
    <w:p>
      <w:pPr>
        <w:keepNext w:val="0"/>
        <w:keepLines w:val="0"/>
        <w:pageBreakBefore w:val="0"/>
        <w:widowControl w:val="0"/>
        <w:tabs>
          <w:tab w:val="left" w:pos="1374"/>
        </w:tabs>
        <w:kinsoku/>
        <w:wordWrap/>
        <w:overflowPunct/>
        <w:topLinePunct w:val="0"/>
        <w:autoSpaceDE/>
        <w:autoSpaceDN/>
        <w:bidi w:val="0"/>
        <w:adjustRightInd/>
        <w:snapToGrid/>
        <w:spacing w:line="48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1）现场施工人员应严格遵守安全技术操作规程，遵守甲方和工地的规章制度，文明施工。如发生施工安全事故，由乙方承担全部责任，与甲方无关。</w:t>
      </w:r>
    </w:p>
    <w:p>
      <w:pPr>
        <w:keepNext w:val="0"/>
        <w:keepLines w:val="0"/>
        <w:pageBreakBefore w:val="0"/>
        <w:widowControl w:val="0"/>
        <w:tabs>
          <w:tab w:val="left" w:pos="1554"/>
        </w:tabs>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2）已完工的工程，在竣工验收前由乙方负责保管看护，并清理好施工场地。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7）应保持施工现场整洁干净，做到活完底清，及时清除无用建筑垃圾。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8）工程在未验收前工程维护完全由乙方负责，验收时整个施工现场要清理干净。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第七条:违约责任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1甲方责任：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1、工程开始后因甲方原因造成的工期延误，工期顺延。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2、工程完工后甲方应及时按合同要求办理工程款支付。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1、保证工程质量，做到一次验收合格。</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2、因产品及工程施工措施不到位造成的质量事故由乙方负责。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3、乙方应按甲方约定准时完工。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4、乙方在施工过程中未按合同的约定及设计方案进行施工的、造成施工受阻由乙方负责。承担相关责任，并接受甲方相应的处罚。</w:t>
      </w:r>
    </w:p>
    <w:p>
      <w:pPr>
        <w:keepNext w:val="0"/>
        <w:keepLines w:val="0"/>
        <w:pageBreakBefore w:val="0"/>
        <w:widowControl w:val="0"/>
        <w:kinsoku/>
        <w:wordWrap/>
        <w:overflowPunct/>
        <w:topLinePunct w:val="0"/>
        <w:autoSpaceDE/>
        <w:autoSpaceDN/>
        <w:bidi w:val="0"/>
        <w:adjustRightInd/>
        <w:snapToGrid/>
        <w:spacing w:line="480" w:lineRule="exact"/>
        <w:ind w:firstLine="204"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第八条：争议处理</w:t>
      </w:r>
    </w:p>
    <w:p>
      <w:pPr>
        <w:keepNext w:val="0"/>
        <w:keepLines w:val="0"/>
        <w:pageBreakBefore w:val="0"/>
        <w:widowControl w:val="0"/>
        <w:kinsoku/>
        <w:wordWrap/>
        <w:overflowPunct/>
        <w:topLinePunct w:val="0"/>
        <w:autoSpaceDE/>
        <w:autoSpaceDN/>
        <w:bidi w:val="0"/>
        <w:adjustRightInd/>
        <w:snapToGrid/>
        <w:spacing w:line="480" w:lineRule="exact"/>
        <w:ind w:firstLine="309"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合同履行中发生争议，双方应友好协商解决，协商不成，可向签约地人民法院提出诉讼。</w:t>
      </w:r>
    </w:p>
    <w:p>
      <w:pPr>
        <w:keepNext w:val="0"/>
        <w:keepLines w:val="0"/>
        <w:pageBreakBefore w:val="0"/>
        <w:widowControl w:val="0"/>
        <w:kinsoku/>
        <w:wordWrap/>
        <w:overflowPunct/>
        <w:topLinePunct w:val="0"/>
        <w:autoSpaceDE/>
        <w:autoSpaceDN/>
        <w:bidi w:val="0"/>
        <w:adjustRightInd/>
        <w:snapToGrid/>
        <w:spacing w:line="480" w:lineRule="exact"/>
        <w:ind w:firstLine="204" w:firstLineChars="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第九条：其它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1、本合同如有未尽事宜、经双方协商后签订补充合同。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2、本合同一式叁份双方各执一份审计单位一份双方签字盖章之日起生效。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4749"/>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发包人：（甲方盖章）</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承包人（乙方盖章）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p>
    <w:p>
      <w:pPr>
        <w:keepNext w:val="0"/>
        <w:keepLines w:val="0"/>
        <w:pageBreakBefore w:val="0"/>
        <w:widowControl w:val="0"/>
        <w:tabs>
          <w:tab w:val="left" w:pos="492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法人代表：                             </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法人代表：</w:t>
      </w:r>
    </w:p>
    <w:p>
      <w:pPr>
        <w:keepNext w:val="0"/>
        <w:keepLines w:val="0"/>
        <w:pageBreakBefore w:val="0"/>
        <w:widowControl w:val="0"/>
        <w:tabs>
          <w:tab w:val="left" w:pos="5784"/>
        </w:tabs>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4914"/>
        </w:tabs>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委托代理人：</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t>委托代理人：</w:t>
      </w:r>
    </w:p>
    <w:p>
      <w:pPr>
        <w:keepNext w:val="0"/>
        <w:keepLines w:val="0"/>
        <w:pageBreakBefore w:val="0"/>
        <w:widowControl w:val="0"/>
        <w:tabs>
          <w:tab w:val="left" w:pos="5799"/>
        </w:tabs>
        <w:kinsoku/>
        <w:wordWrap/>
        <w:overflowPunct/>
        <w:topLinePunct w:val="0"/>
        <w:autoSpaceDE/>
        <w:autoSpaceDN/>
        <w:bidi w:val="0"/>
        <w:adjustRightInd/>
        <w:snapToGrid/>
        <w:spacing w:line="480" w:lineRule="exact"/>
        <w:ind w:firstLine="309"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p>
    <w:p>
      <w:pPr>
        <w:keepNext w:val="0"/>
        <w:keepLines w:val="0"/>
        <w:pageBreakBefore w:val="0"/>
        <w:widowControl w:val="0"/>
        <w:tabs>
          <w:tab w:val="left" w:pos="4914"/>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开户行：</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t>开户行：</w:t>
      </w:r>
    </w:p>
    <w:p>
      <w:pPr>
        <w:keepNext w:val="0"/>
        <w:keepLines w:val="0"/>
        <w:pageBreakBefore w:val="0"/>
        <w:widowControl w:val="0"/>
        <w:tabs>
          <w:tab w:val="left" w:pos="4944"/>
        </w:tabs>
        <w:kinsoku/>
        <w:wordWrap/>
        <w:overflowPunct/>
        <w:topLinePunct w:val="0"/>
        <w:autoSpaceDE/>
        <w:autoSpaceDN/>
        <w:bidi w:val="0"/>
        <w:adjustRightInd/>
        <w:snapToGrid/>
        <w:spacing w:line="48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t>账号：</w:t>
      </w:r>
    </w:p>
    <w:p>
      <w:pPr>
        <w:tabs>
          <w:tab w:val="left" w:pos="5934"/>
        </w:tabs>
        <w:bidi w:val="0"/>
        <w:rPr>
          <w:rFonts w:hint="default" w:cstheme="minorBidi"/>
          <w:kern w:val="2"/>
          <w:sz w:val="24"/>
          <w:szCs w:val="24"/>
          <w:lang w:val="en-US" w:eastAsia="zh-CN" w:bidi="ar-SA"/>
        </w:rPr>
      </w:pPr>
    </w:p>
    <w:p>
      <w:pPr>
        <w:tabs>
          <w:tab w:val="left" w:pos="5844"/>
        </w:tabs>
        <w:bidi w:val="0"/>
        <w:jc w:val="left"/>
        <w:rPr>
          <w:rFonts w:hint="eastAsia"/>
          <w:lang w:val="en-US" w:eastAsia="zh-CN"/>
        </w:rPr>
      </w:pPr>
      <w:r>
        <w:rPr>
          <w:rFonts w:hint="eastAsia"/>
          <w:lang w:val="en-US" w:eastAsia="zh-CN"/>
        </w:rPr>
        <w:tab/>
      </w:r>
    </w:p>
    <w:p>
      <w:pPr>
        <w:tabs>
          <w:tab w:val="left" w:pos="5844"/>
        </w:tabs>
        <w:bidi w:val="0"/>
        <w:jc w:val="left"/>
        <w:rPr>
          <w:rFonts w:hint="default"/>
          <w:sz w:val="24"/>
          <w:szCs w:val="24"/>
          <w:lang w:val="en-US" w:eastAsia="zh-CN"/>
        </w:rPr>
      </w:pPr>
      <w:r>
        <w:rPr>
          <w:rFonts w:hint="eastAsia"/>
          <w:lang w:val="en-US" w:eastAsia="zh-CN"/>
        </w:rPr>
        <w:t xml:space="preserve">                             </w:t>
      </w:r>
      <w:r>
        <w:rPr>
          <w:rFonts w:hint="eastAsia"/>
          <w:sz w:val="24"/>
          <w:szCs w:val="24"/>
          <w:lang w:val="en-US" w:eastAsia="zh-CN"/>
        </w:rPr>
        <w:t xml:space="preserve">      2024年      月      </w:t>
      </w:r>
      <w:bookmarkStart w:id="0" w:name="_GoBack"/>
      <w:bookmarkEnd w:id="0"/>
      <w:r>
        <w:rPr>
          <w:rFonts w:hint="eastAsia"/>
          <w:sz w:val="24"/>
          <w:szCs w:val="24"/>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rFonts w:hint="eastAsia"/>
        <w:lang w:val="en-US" w:eastAsia="zh-CN"/>
      </w:rPr>
      <w:t xml:space="preserve"> </w:t>
    </w:r>
  </w:p>
  <w:p>
    <w:pPr>
      <w:pStyle w:val="3"/>
      <w:rPr>
        <w:rFonts w:hint="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BF31D"/>
    <w:multiLevelType w:val="singleLevel"/>
    <w:tmpl w:val="A92BF31D"/>
    <w:lvl w:ilvl="0" w:tentative="0">
      <w:start w:val="4"/>
      <w:numFmt w:val="decimal"/>
      <w:suff w:val="nothing"/>
      <w:lvlText w:val="%1）"/>
      <w:lvlJc w:val="left"/>
    </w:lvl>
  </w:abstractNum>
  <w:abstractNum w:abstractNumId="1">
    <w:nsid w:val="F86BCBEE"/>
    <w:multiLevelType w:val="singleLevel"/>
    <w:tmpl w:val="F86BCBEE"/>
    <w:lvl w:ilvl="0" w:tentative="0">
      <w:start w:val="1"/>
      <w:numFmt w:val="decimal"/>
      <w:suff w:val="nothing"/>
      <w:lvlText w:val="%1、"/>
      <w:lvlJc w:val="left"/>
    </w:lvl>
  </w:abstractNum>
  <w:abstractNum w:abstractNumId="2">
    <w:nsid w:val="6FCC42BE"/>
    <w:multiLevelType w:val="singleLevel"/>
    <w:tmpl w:val="6FCC42B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OTgyYTRlYTIwNDc4MThjZTk1NTA2NTQ2OGVlNzQifQ=="/>
  </w:docVars>
  <w:rsids>
    <w:rsidRoot w:val="60465C13"/>
    <w:rsid w:val="01B30C09"/>
    <w:rsid w:val="0F51703C"/>
    <w:rsid w:val="1297623B"/>
    <w:rsid w:val="18C523B3"/>
    <w:rsid w:val="1996109D"/>
    <w:rsid w:val="21D020CC"/>
    <w:rsid w:val="26E5275E"/>
    <w:rsid w:val="35917D39"/>
    <w:rsid w:val="380A0236"/>
    <w:rsid w:val="4393383F"/>
    <w:rsid w:val="44F91ECD"/>
    <w:rsid w:val="4504212F"/>
    <w:rsid w:val="455533C2"/>
    <w:rsid w:val="483837A5"/>
    <w:rsid w:val="48947CC4"/>
    <w:rsid w:val="57DD25EC"/>
    <w:rsid w:val="5D0B72F5"/>
    <w:rsid w:val="60465C13"/>
    <w:rsid w:val="62B60D6E"/>
    <w:rsid w:val="64DA4346"/>
    <w:rsid w:val="68726B85"/>
    <w:rsid w:val="6D270436"/>
    <w:rsid w:val="708C19CE"/>
    <w:rsid w:val="736E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2022-10-18T09:59:00Z</dcterms:created>
  <dc:creator>高楼大厦</dc:creator>
  <cp:lastModifiedBy>阿刘</cp:lastModifiedBy>
  <cp:lastPrinted>2023-12-10T16:08:00Z</cp:lastPrinted>
  <dcterms:modified xsi:type="dcterms:W3CDTF">2024-01-04T07:34:09Z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B089750460234EEC80B2904A77105457</vt:lpwstr>
  </property>
</Properties>
</file>