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0B60E">
      <w:pPr>
        <w:spacing w:line="360" w:lineRule="auto"/>
        <w:jc w:val="center"/>
        <w:rPr>
          <w:rFonts w:ascii="宋体" w:hAnsi="宋体" w:cs="微软雅黑"/>
          <w:b/>
          <w:bCs/>
          <w:sz w:val="36"/>
          <w:szCs w:val="36"/>
        </w:rPr>
      </w:pPr>
      <w:r>
        <w:rPr>
          <w:rFonts w:hint="eastAsia" w:ascii="宋体" w:hAnsi="宋体" w:cs="微软雅黑"/>
          <w:b/>
          <w:bCs/>
          <w:sz w:val="36"/>
          <w:szCs w:val="36"/>
        </w:rPr>
        <w:t>桂林市机电职业技术学校</w:t>
      </w:r>
    </w:p>
    <w:p w14:paraId="723B9368">
      <w:pPr>
        <w:spacing w:line="360" w:lineRule="auto"/>
        <w:jc w:val="center"/>
        <w:rPr>
          <w:rFonts w:hint="eastAsia" w:ascii="宋体" w:hAnsi="宋体" w:cs="微软雅黑"/>
          <w:b/>
          <w:sz w:val="36"/>
          <w:szCs w:val="36"/>
        </w:rPr>
      </w:pPr>
      <w:r>
        <w:rPr>
          <w:rFonts w:hint="eastAsia" w:ascii="宋体" w:hAnsi="宋体" w:cs="微软雅黑"/>
          <w:b/>
          <w:sz w:val="36"/>
          <w:szCs w:val="36"/>
        </w:rPr>
        <w:t>运动训练专业人才培养方案</w:t>
      </w:r>
    </w:p>
    <w:p w14:paraId="492E30D9">
      <w:pPr>
        <w:spacing w:line="360" w:lineRule="auto"/>
        <w:jc w:val="center"/>
        <w:rPr>
          <w:rFonts w:hint="eastAsia" w:ascii="宋体" w:hAnsi="宋体" w:eastAsia="宋体" w:cs="微软雅黑"/>
          <w:b/>
          <w:sz w:val="36"/>
          <w:szCs w:val="36"/>
          <w:lang w:eastAsia="zh-CN"/>
        </w:rPr>
      </w:pPr>
      <w:r>
        <w:rPr>
          <w:rFonts w:hint="eastAsia" w:ascii="宋体" w:hAnsi="宋体" w:cs="微软雅黑"/>
          <w:b/>
          <w:sz w:val="36"/>
          <w:szCs w:val="36"/>
          <w:lang w:eastAsia="zh-CN"/>
        </w:rPr>
        <w:t>（</w:t>
      </w:r>
      <w:r>
        <w:rPr>
          <w:rFonts w:hint="eastAsia" w:ascii="宋体" w:hAnsi="宋体" w:cs="微软雅黑"/>
          <w:b/>
          <w:sz w:val="36"/>
          <w:szCs w:val="36"/>
          <w:lang w:val="en-US" w:eastAsia="zh-CN"/>
        </w:rPr>
        <w:t>2025级</w:t>
      </w:r>
      <w:r>
        <w:rPr>
          <w:rFonts w:hint="eastAsia" w:ascii="宋体" w:hAnsi="宋体" w:cs="微软雅黑"/>
          <w:b/>
          <w:sz w:val="36"/>
          <w:szCs w:val="36"/>
          <w:lang w:eastAsia="zh-CN"/>
        </w:rPr>
        <w:t>）</w:t>
      </w:r>
    </w:p>
    <w:p w14:paraId="6D2EB08E">
      <w:pPr>
        <w:spacing w:line="360" w:lineRule="auto"/>
        <w:ind w:firstLine="630" w:firstLineChars="196"/>
        <w:jc w:val="left"/>
        <w:rPr>
          <w:rFonts w:ascii="仿宋_GB2312" w:hAnsi="宋体" w:eastAsia="仿宋_GB2312" w:cs="微软雅黑"/>
          <w:b/>
          <w:sz w:val="32"/>
          <w:szCs w:val="32"/>
        </w:rPr>
      </w:pPr>
      <w:r>
        <w:rPr>
          <w:rFonts w:hint="eastAsia" w:ascii="仿宋_GB2312" w:hAnsi="宋体" w:eastAsia="仿宋_GB2312" w:cs="微软雅黑"/>
          <w:b/>
          <w:sz w:val="32"/>
          <w:szCs w:val="32"/>
        </w:rPr>
        <w:t>一、专业名称及代码</w:t>
      </w:r>
    </w:p>
    <w:p w14:paraId="1CD9D7CD">
      <w:pPr>
        <w:spacing w:line="360" w:lineRule="auto"/>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运动训练</w:t>
      </w:r>
      <w:bookmarkStart w:id="0" w:name="_Toc8739_WPSOffice_Level1"/>
      <w:r>
        <w:rPr>
          <w:rFonts w:hint="eastAsia" w:ascii="仿宋_GB2312" w:hAnsi="宋体" w:eastAsia="仿宋_GB2312" w:cs="宋体"/>
          <w:bCs/>
          <w:color w:val="000000"/>
          <w:sz w:val="32"/>
          <w:szCs w:val="32"/>
        </w:rPr>
        <w:t>（040202）</w:t>
      </w:r>
    </w:p>
    <w:p w14:paraId="275E0902">
      <w:pPr>
        <w:spacing w:line="360" w:lineRule="auto"/>
        <w:ind w:firstLine="643" w:firstLineChars="200"/>
        <w:rPr>
          <w:rFonts w:ascii="仿宋_GB2312" w:hAnsi="黑体" w:eastAsia="仿宋_GB2312"/>
          <w:b/>
          <w:bCs/>
          <w:color w:val="000000"/>
          <w:sz w:val="32"/>
          <w:szCs w:val="32"/>
        </w:rPr>
      </w:pPr>
      <w:r>
        <w:rPr>
          <w:rFonts w:hint="eastAsia" w:ascii="仿宋_GB2312" w:hAnsi="黑体" w:eastAsia="仿宋_GB2312"/>
          <w:b/>
          <w:bCs/>
          <w:color w:val="000000"/>
          <w:sz w:val="32"/>
          <w:szCs w:val="32"/>
        </w:rPr>
        <w:t>二、入学要求</w:t>
      </w:r>
      <w:bookmarkEnd w:id="0"/>
    </w:p>
    <w:p w14:paraId="53BE35D7">
      <w:pPr>
        <w:spacing w:line="360" w:lineRule="auto"/>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初中毕业生或具有同等学力者。</w:t>
      </w:r>
    </w:p>
    <w:p w14:paraId="71EAF5A2">
      <w:pPr>
        <w:spacing w:line="360" w:lineRule="auto"/>
        <w:ind w:firstLine="630" w:firstLineChars="196"/>
        <w:outlineLvl w:val="0"/>
        <w:rPr>
          <w:rFonts w:ascii="仿宋_GB2312" w:hAnsi="黑体" w:eastAsia="仿宋_GB2312"/>
          <w:b/>
          <w:bCs/>
          <w:color w:val="000000"/>
          <w:sz w:val="32"/>
          <w:szCs w:val="32"/>
        </w:rPr>
      </w:pPr>
      <w:bookmarkStart w:id="1" w:name="_Toc11202_WPSOffice_Level1"/>
      <w:r>
        <w:rPr>
          <w:rFonts w:hint="eastAsia" w:ascii="仿宋_GB2312" w:hAnsi="黑体" w:eastAsia="仿宋_GB2312"/>
          <w:b/>
          <w:bCs/>
          <w:color w:val="000000"/>
          <w:sz w:val="32"/>
          <w:szCs w:val="32"/>
        </w:rPr>
        <w:t>三、</w:t>
      </w:r>
      <w:bookmarkEnd w:id="1"/>
      <w:r>
        <w:rPr>
          <w:rFonts w:hint="eastAsia" w:ascii="仿宋_GB2312" w:hAnsi="黑体" w:eastAsia="仿宋_GB2312"/>
          <w:b/>
          <w:bCs/>
          <w:color w:val="000000"/>
          <w:sz w:val="32"/>
          <w:szCs w:val="32"/>
        </w:rPr>
        <w:t>修业年限</w:t>
      </w:r>
    </w:p>
    <w:p w14:paraId="0918AC74">
      <w:pPr>
        <w:spacing w:line="360" w:lineRule="auto"/>
        <w:ind w:firstLine="691" w:firstLineChars="216"/>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3年</w:t>
      </w:r>
    </w:p>
    <w:p w14:paraId="03F6CDD0">
      <w:pPr>
        <w:spacing w:line="360" w:lineRule="auto"/>
        <w:ind w:firstLine="643" w:firstLineChars="200"/>
        <w:outlineLvl w:val="0"/>
        <w:rPr>
          <w:rFonts w:ascii="仿宋_GB2312" w:hAnsi="黑体" w:eastAsia="仿宋_GB2312"/>
          <w:b/>
          <w:bCs/>
          <w:sz w:val="32"/>
          <w:szCs w:val="32"/>
        </w:rPr>
      </w:pPr>
      <w:bookmarkStart w:id="2" w:name="_Toc26050_WPSOffice_Level1"/>
      <w:r>
        <w:rPr>
          <w:rFonts w:hint="eastAsia" w:ascii="仿宋_GB2312" w:hAnsi="黑体" w:eastAsia="仿宋_GB2312"/>
          <w:b/>
          <w:bCs/>
          <w:sz w:val="32"/>
          <w:szCs w:val="32"/>
        </w:rPr>
        <w:t>四、</w:t>
      </w:r>
      <w:bookmarkEnd w:id="2"/>
      <w:r>
        <w:rPr>
          <w:rFonts w:hint="eastAsia" w:ascii="仿宋_GB2312" w:hAnsi="黑体" w:eastAsia="仿宋_GB2312"/>
          <w:b/>
          <w:bCs/>
          <w:sz w:val="32"/>
          <w:szCs w:val="32"/>
        </w:rPr>
        <w:t>职业面向</w:t>
      </w:r>
    </w:p>
    <w:p w14:paraId="0E5F54A6">
      <w:pPr>
        <w:spacing w:line="360" w:lineRule="auto"/>
        <w:ind w:firstLine="482"/>
        <w:rPr>
          <w:rFonts w:ascii="仿宋_GB2312" w:hAnsi="宋体" w:eastAsia="仿宋_GB2312" w:cs="宋体"/>
          <w:bCs/>
          <w:sz w:val="32"/>
          <w:szCs w:val="32"/>
        </w:rPr>
      </w:pPr>
      <w:r>
        <w:rPr>
          <w:rFonts w:hint="eastAsia" w:ascii="仿宋_GB2312" w:hAnsi="宋体" w:eastAsia="仿宋_GB2312" w:cs="宋体"/>
          <w:bCs/>
          <w:sz w:val="32"/>
          <w:szCs w:val="32"/>
        </w:rPr>
        <w:t>本专业（方向）旨在培养德、智、军、体</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lang w:val="en-US" w:eastAsia="zh-CN"/>
        </w:rPr>
        <w:t>劳</w:t>
      </w:r>
      <w:r>
        <w:rPr>
          <w:rFonts w:hint="eastAsia" w:ascii="仿宋_GB2312" w:hAnsi="宋体" w:eastAsia="仿宋_GB2312" w:cs="宋体"/>
          <w:bCs/>
          <w:sz w:val="32"/>
          <w:szCs w:val="32"/>
        </w:rPr>
        <w:t>全面发展，具备专业技能和高水平技能，熟练专业知识与基础技能；具有较高政治素质和良好的职业道德、敬业精神；具有良好的身体素质和心理素质；具备良好的英语沟通能力和计算机应用能力；通过学习具备治安检查、巡逻检查、卡口值守、接处警、维持大型公秩序、纠纷调解、治安宣传教育、社区管理、特种行业管理、信息采集、数据统计、文字记录、专业技术、后勤等公安行政管理活动或警务活动的能力；同时，要具备扎实的队列、拳术等训练基础，具有一定的创新精神和实践能力，逐步具备军人的素质和素养的高素质复合型人才。</w:t>
      </w:r>
    </w:p>
    <w:p w14:paraId="007E7541">
      <w:pPr>
        <w:spacing w:line="560" w:lineRule="exact"/>
        <w:ind w:left="580"/>
        <w:outlineLvl w:val="0"/>
        <w:rPr>
          <w:rFonts w:ascii="仿宋_GB2312" w:hAnsi="黑体" w:eastAsia="仿宋_GB2312"/>
          <w:b/>
          <w:sz w:val="24"/>
        </w:rPr>
      </w:pPr>
      <w:r>
        <w:rPr>
          <w:rFonts w:hint="eastAsia" w:ascii="仿宋_GB2312" w:hAnsi="黑体" w:eastAsia="仿宋_GB2312"/>
          <w:b/>
          <w:sz w:val="24"/>
        </w:rPr>
        <w:t>运动训练专业覆盖的职业岗位群</w:t>
      </w:r>
    </w:p>
    <w:tbl>
      <w:tblPr>
        <w:tblStyle w:val="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66"/>
        <w:gridCol w:w="2312"/>
        <w:gridCol w:w="2749"/>
      </w:tblGrid>
      <w:tr w14:paraId="5306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91" w:type="dxa"/>
            <w:vAlign w:val="center"/>
          </w:tcPr>
          <w:p w14:paraId="37DF7303">
            <w:pPr>
              <w:snapToGrid w:val="0"/>
              <w:jc w:val="center"/>
              <w:rPr>
                <w:rFonts w:ascii="仿宋_GB2312" w:eastAsia="仿宋_GB2312"/>
                <w:b/>
                <w:bCs/>
                <w:sz w:val="24"/>
              </w:rPr>
            </w:pPr>
            <w:r>
              <w:rPr>
                <w:rFonts w:hint="eastAsia" w:ascii="仿宋_GB2312" w:eastAsia="仿宋_GB2312"/>
                <w:b/>
                <w:bCs/>
                <w:sz w:val="24"/>
              </w:rPr>
              <w:t>序号</w:t>
            </w:r>
          </w:p>
        </w:tc>
        <w:tc>
          <w:tcPr>
            <w:tcW w:w="3166" w:type="dxa"/>
            <w:vAlign w:val="center"/>
          </w:tcPr>
          <w:p w14:paraId="1E091626">
            <w:pPr>
              <w:snapToGrid w:val="0"/>
              <w:jc w:val="center"/>
              <w:rPr>
                <w:rFonts w:ascii="仿宋_GB2312" w:eastAsia="仿宋_GB2312"/>
                <w:b/>
                <w:bCs/>
                <w:sz w:val="24"/>
              </w:rPr>
            </w:pPr>
            <w:r>
              <w:rPr>
                <w:rFonts w:hint="eastAsia" w:ascii="仿宋_GB2312" w:eastAsia="仿宋_GB2312"/>
                <w:b/>
                <w:bCs/>
                <w:sz w:val="24"/>
              </w:rPr>
              <w:t>专业（技能）方向</w:t>
            </w:r>
          </w:p>
        </w:tc>
        <w:tc>
          <w:tcPr>
            <w:tcW w:w="2312" w:type="dxa"/>
            <w:vAlign w:val="center"/>
          </w:tcPr>
          <w:p w14:paraId="33393CD5">
            <w:pPr>
              <w:snapToGrid w:val="0"/>
              <w:jc w:val="center"/>
              <w:rPr>
                <w:rFonts w:ascii="仿宋_GB2312" w:eastAsia="仿宋_GB2312"/>
                <w:b/>
                <w:bCs/>
                <w:sz w:val="24"/>
              </w:rPr>
            </w:pPr>
            <w:r>
              <w:rPr>
                <w:rFonts w:hint="eastAsia" w:ascii="仿宋_GB2312" w:eastAsia="仿宋_GB2312"/>
                <w:b/>
                <w:bCs/>
                <w:sz w:val="24"/>
              </w:rPr>
              <w:t>对应职业（工种）</w:t>
            </w:r>
          </w:p>
        </w:tc>
        <w:tc>
          <w:tcPr>
            <w:tcW w:w="2749" w:type="dxa"/>
            <w:vAlign w:val="center"/>
          </w:tcPr>
          <w:p w14:paraId="487A5892">
            <w:pPr>
              <w:snapToGrid w:val="0"/>
              <w:jc w:val="center"/>
              <w:rPr>
                <w:rFonts w:ascii="仿宋_GB2312" w:eastAsia="仿宋_GB2312"/>
                <w:b/>
                <w:bCs/>
                <w:sz w:val="24"/>
              </w:rPr>
            </w:pPr>
            <w:r>
              <w:rPr>
                <w:rFonts w:hint="eastAsia" w:ascii="仿宋_GB2312" w:eastAsia="仿宋_GB2312"/>
                <w:b/>
                <w:bCs/>
                <w:sz w:val="24"/>
              </w:rPr>
              <w:t>职业资格证</w:t>
            </w:r>
          </w:p>
        </w:tc>
      </w:tr>
      <w:tr w14:paraId="11F1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1" w:type="dxa"/>
            <w:vAlign w:val="center"/>
          </w:tcPr>
          <w:p w14:paraId="28B0E16F">
            <w:pPr>
              <w:jc w:val="center"/>
              <w:rPr>
                <w:rFonts w:ascii="仿宋_GB2312" w:eastAsia="仿宋_GB2312"/>
                <w:sz w:val="24"/>
              </w:rPr>
            </w:pPr>
            <w:r>
              <w:rPr>
                <w:rFonts w:hint="eastAsia" w:ascii="仿宋_GB2312" w:hAnsi="宋体" w:eastAsia="仿宋_GB2312"/>
                <w:sz w:val="24"/>
              </w:rPr>
              <w:t>1</w:t>
            </w:r>
          </w:p>
        </w:tc>
        <w:tc>
          <w:tcPr>
            <w:tcW w:w="3166" w:type="dxa"/>
            <w:vAlign w:val="center"/>
          </w:tcPr>
          <w:p w14:paraId="7D9580BE">
            <w:pPr>
              <w:snapToGrid w:val="0"/>
              <w:rPr>
                <w:rFonts w:ascii="仿宋_GB2312" w:hAnsi="仿宋" w:eastAsia="仿宋_GB2312"/>
                <w:bCs/>
                <w:sz w:val="24"/>
              </w:rPr>
            </w:pPr>
            <w:r>
              <w:rPr>
                <w:rFonts w:hint="eastAsia" w:ascii="仿宋_GB2312" w:hAnsi="仿宋" w:eastAsia="仿宋_GB2312"/>
                <w:bCs/>
                <w:sz w:val="24"/>
              </w:rPr>
              <w:t>从事基层政法系统司法辅助法律事务、基层企事业单位行政事务等工作</w:t>
            </w:r>
          </w:p>
        </w:tc>
        <w:tc>
          <w:tcPr>
            <w:tcW w:w="2312" w:type="dxa"/>
            <w:vAlign w:val="center"/>
          </w:tcPr>
          <w:p w14:paraId="1998A4D4">
            <w:pPr>
              <w:snapToGrid w:val="0"/>
              <w:jc w:val="center"/>
              <w:rPr>
                <w:rFonts w:ascii="仿宋_GB2312" w:hAnsi="仿宋" w:eastAsia="仿宋_GB2312"/>
                <w:bCs/>
                <w:sz w:val="24"/>
              </w:rPr>
            </w:pPr>
            <w:r>
              <w:rPr>
                <w:rFonts w:hint="eastAsia" w:ascii="仿宋_GB2312" w:hAnsi="仿宋" w:eastAsia="仿宋_GB2312"/>
                <w:bCs/>
                <w:sz w:val="24"/>
              </w:rPr>
              <w:t>公安行政执法助理、行政文秘管理</w:t>
            </w:r>
          </w:p>
        </w:tc>
        <w:tc>
          <w:tcPr>
            <w:tcW w:w="2749" w:type="dxa"/>
            <w:vAlign w:val="center"/>
          </w:tcPr>
          <w:p w14:paraId="10D8687C">
            <w:pPr>
              <w:snapToGrid w:val="0"/>
              <w:jc w:val="center"/>
              <w:rPr>
                <w:rFonts w:ascii="仿宋_GB2312" w:hAnsi="仿宋" w:eastAsia="仿宋_GB2312"/>
                <w:bCs/>
                <w:sz w:val="24"/>
              </w:rPr>
            </w:pPr>
          </w:p>
        </w:tc>
      </w:tr>
      <w:tr w14:paraId="3982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1" w:type="dxa"/>
            <w:vAlign w:val="center"/>
          </w:tcPr>
          <w:p w14:paraId="07829AB9">
            <w:pPr>
              <w:jc w:val="center"/>
              <w:rPr>
                <w:rFonts w:ascii="仿宋_GB2312" w:eastAsia="仿宋_GB2312"/>
                <w:sz w:val="24"/>
              </w:rPr>
            </w:pPr>
            <w:r>
              <w:rPr>
                <w:rFonts w:hint="eastAsia" w:ascii="仿宋_GB2312" w:hAnsi="宋体" w:eastAsia="仿宋_GB2312"/>
                <w:sz w:val="24"/>
              </w:rPr>
              <w:t>2</w:t>
            </w:r>
          </w:p>
        </w:tc>
        <w:tc>
          <w:tcPr>
            <w:tcW w:w="3166" w:type="dxa"/>
            <w:vAlign w:val="center"/>
          </w:tcPr>
          <w:p w14:paraId="21FC1114">
            <w:pPr>
              <w:snapToGrid w:val="0"/>
              <w:rPr>
                <w:rFonts w:ascii="仿宋_GB2312" w:hAnsi="仿宋" w:eastAsia="仿宋_GB2312"/>
                <w:bCs/>
                <w:sz w:val="24"/>
              </w:rPr>
            </w:pPr>
            <w:r>
              <w:rPr>
                <w:rFonts w:hint="eastAsia" w:ascii="仿宋_GB2312" w:hAnsi="仿宋" w:eastAsia="仿宋_GB2312"/>
                <w:bCs/>
                <w:sz w:val="24"/>
              </w:rPr>
              <w:t>从事治安管理工作和警务实战的工作。 </w:t>
            </w:r>
          </w:p>
        </w:tc>
        <w:tc>
          <w:tcPr>
            <w:tcW w:w="2312" w:type="dxa"/>
            <w:vAlign w:val="center"/>
          </w:tcPr>
          <w:p w14:paraId="32A0BB4C">
            <w:pPr>
              <w:snapToGrid w:val="0"/>
              <w:jc w:val="center"/>
              <w:rPr>
                <w:rFonts w:ascii="仿宋_GB2312" w:hAnsi="仿宋" w:eastAsia="仿宋_GB2312"/>
                <w:bCs/>
                <w:sz w:val="24"/>
              </w:rPr>
            </w:pPr>
            <w:r>
              <w:rPr>
                <w:rFonts w:hint="eastAsia" w:ascii="仿宋_GB2312" w:hAnsi="仿宋" w:eastAsia="仿宋_GB2312"/>
                <w:bCs/>
                <w:sz w:val="24"/>
              </w:rPr>
              <w:t>企事业单位治安保卫管理</w:t>
            </w:r>
          </w:p>
        </w:tc>
        <w:tc>
          <w:tcPr>
            <w:tcW w:w="2749" w:type="dxa"/>
            <w:vAlign w:val="center"/>
          </w:tcPr>
          <w:p w14:paraId="5EBF5C8D">
            <w:pPr>
              <w:snapToGrid w:val="0"/>
              <w:ind w:left="719" w:leftChars="114" w:hanging="480" w:hangingChars="200"/>
              <w:rPr>
                <w:rFonts w:ascii="仿宋_GB2312" w:hAnsi="仿宋" w:eastAsia="仿宋_GB2312"/>
                <w:bCs/>
                <w:sz w:val="24"/>
              </w:rPr>
            </w:pPr>
          </w:p>
        </w:tc>
      </w:tr>
      <w:tr w14:paraId="2BC9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1" w:type="dxa"/>
            <w:vAlign w:val="center"/>
          </w:tcPr>
          <w:p w14:paraId="20AD5187">
            <w:pPr>
              <w:jc w:val="center"/>
              <w:rPr>
                <w:rFonts w:ascii="仿宋_GB2312" w:eastAsia="仿宋_GB2312"/>
                <w:sz w:val="24"/>
              </w:rPr>
            </w:pPr>
            <w:r>
              <w:rPr>
                <w:rFonts w:hint="eastAsia" w:ascii="仿宋_GB2312" w:eastAsia="仿宋_GB2312"/>
                <w:sz w:val="24"/>
              </w:rPr>
              <w:t>3</w:t>
            </w:r>
          </w:p>
        </w:tc>
        <w:tc>
          <w:tcPr>
            <w:tcW w:w="3166" w:type="dxa"/>
            <w:vAlign w:val="center"/>
          </w:tcPr>
          <w:p w14:paraId="6161D448">
            <w:pPr>
              <w:snapToGrid w:val="0"/>
              <w:rPr>
                <w:rFonts w:ascii="仿宋_GB2312" w:hAnsi="仿宋" w:eastAsia="仿宋_GB2312"/>
                <w:bCs/>
                <w:sz w:val="24"/>
              </w:rPr>
            </w:pPr>
            <w:r>
              <w:rPr>
                <w:rFonts w:hint="eastAsia" w:ascii="仿宋_GB2312" w:hAnsi="仿宋" w:eastAsia="仿宋_GB2312"/>
                <w:bCs/>
                <w:sz w:val="24"/>
              </w:rPr>
              <w:t>从事航空、高铁、地铁、轻轨、云轨中的安检工作</w:t>
            </w:r>
          </w:p>
        </w:tc>
        <w:tc>
          <w:tcPr>
            <w:tcW w:w="2312" w:type="dxa"/>
            <w:vAlign w:val="center"/>
          </w:tcPr>
          <w:p w14:paraId="379C6ECA">
            <w:pPr>
              <w:snapToGrid w:val="0"/>
              <w:jc w:val="center"/>
              <w:rPr>
                <w:rFonts w:ascii="仿宋_GB2312" w:hAnsi="仿宋" w:eastAsia="仿宋_GB2312"/>
                <w:bCs/>
                <w:sz w:val="24"/>
              </w:rPr>
            </w:pPr>
            <w:r>
              <w:rPr>
                <w:rFonts w:hint="eastAsia" w:ascii="仿宋_GB2312" w:hAnsi="仿宋" w:eastAsia="仿宋_GB2312"/>
                <w:bCs/>
                <w:sz w:val="24"/>
              </w:rPr>
              <w:t>列车安检、安全员</w:t>
            </w:r>
          </w:p>
        </w:tc>
        <w:tc>
          <w:tcPr>
            <w:tcW w:w="2749" w:type="dxa"/>
            <w:vAlign w:val="center"/>
          </w:tcPr>
          <w:p w14:paraId="502A4C6E">
            <w:pPr>
              <w:snapToGrid w:val="0"/>
              <w:ind w:firstLine="480" w:firstLineChars="200"/>
              <w:rPr>
                <w:rFonts w:ascii="仿宋_GB2312" w:hAnsi="仿宋" w:eastAsia="仿宋_GB2312"/>
                <w:bCs/>
                <w:sz w:val="24"/>
              </w:rPr>
            </w:pPr>
            <w:r>
              <w:rPr>
                <w:rFonts w:hint="eastAsia" w:ascii="仿宋_GB2312" w:hAnsi="仿宋" w:eastAsia="仿宋_GB2312"/>
                <w:bCs/>
                <w:sz w:val="24"/>
              </w:rPr>
              <w:t>安检员员级证书</w:t>
            </w:r>
          </w:p>
        </w:tc>
      </w:tr>
      <w:tr w14:paraId="7944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1" w:type="dxa"/>
            <w:vAlign w:val="center"/>
          </w:tcPr>
          <w:p w14:paraId="6DCB2677">
            <w:pPr>
              <w:jc w:val="center"/>
              <w:rPr>
                <w:rFonts w:ascii="仿宋_GB2312" w:eastAsia="仿宋_GB2312"/>
                <w:b/>
                <w:sz w:val="24"/>
              </w:rPr>
            </w:pPr>
            <w:r>
              <w:rPr>
                <w:rFonts w:hint="eastAsia" w:ascii="仿宋_GB2312" w:eastAsia="仿宋_GB2312"/>
                <w:sz w:val="24"/>
              </w:rPr>
              <w:t>4</w:t>
            </w:r>
          </w:p>
        </w:tc>
        <w:tc>
          <w:tcPr>
            <w:tcW w:w="3166" w:type="dxa"/>
            <w:vAlign w:val="center"/>
          </w:tcPr>
          <w:p w14:paraId="6F63028F">
            <w:pPr>
              <w:snapToGrid w:val="0"/>
              <w:rPr>
                <w:rFonts w:ascii="仿宋_GB2312" w:hAnsi="仿宋" w:eastAsia="仿宋_GB2312"/>
                <w:bCs/>
                <w:sz w:val="24"/>
              </w:rPr>
            </w:pPr>
            <w:r>
              <w:rPr>
                <w:rFonts w:hint="eastAsia" w:ascii="仿宋_GB2312" w:hAnsi="仿宋" w:eastAsia="仿宋_GB2312"/>
                <w:bCs/>
                <w:sz w:val="24"/>
              </w:rPr>
              <w:t>从事各单位会务服务工作</w:t>
            </w:r>
          </w:p>
        </w:tc>
        <w:tc>
          <w:tcPr>
            <w:tcW w:w="2312" w:type="dxa"/>
            <w:vAlign w:val="center"/>
          </w:tcPr>
          <w:p w14:paraId="77933F6F">
            <w:pPr>
              <w:snapToGrid w:val="0"/>
              <w:rPr>
                <w:rFonts w:ascii="仿宋_GB2312" w:hAnsi="仿宋" w:eastAsia="仿宋_GB2312"/>
                <w:bCs/>
                <w:sz w:val="24"/>
              </w:rPr>
            </w:pPr>
            <w:r>
              <w:rPr>
                <w:rFonts w:hint="eastAsia" w:ascii="仿宋_GB2312" w:hAnsi="仿宋" w:eastAsia="仿宋_GB2312"/>
                <w:bCs/>
                <w:sz w:val="24"/>
              </w:rPr>
              <w:t>各单位会务管理员等</w:t>
            </w:r>
          </w:p>
        </w:tc>
        <w:tc>
          <w:tcPr>
            <w:tcW w:w="2749" w:type="dxa"/>
            <w:vAlign w:val="center"/>
          </w:tcPr>
          <w:p w14:paraId="16D7AE1A">
            <w:pPr>
              <w:snapToGrid w:val="0"/>
              <w:ind w:firstLine="480" w:firstLineChars="200"/>
              <w:rPr>
                <w:rFonts w:ascii="仿宋_GB2312" w:hAnsi="仿宋" w:eastAsia="仿宋_GB2312"/>
                <w:bCs/>
                <w:sz w:val="24"/>
              </w:rPr>
            </w:pPr>
          </w:p>
        </w:tc>
      </w:tr>
      <w:tr w14:paraId="42F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1" w:type="dxa"/>
            <w:vAlign w:val="center"/>
          </w:tcPr>
          <w:p w14:paraId="2C033792">
            <w:pPr>
              <w:jc w:val="center"/>
              <w:rPr>
                <w:rFonts w:ascii="仿宋_GB2312" w:eastAsia="仿宋_GB2312"/>
                <w:color w:val="000000"/>
                <w:sz w:val="24"/>
              </w:rPr>
            </w:pPr>
            <w:r>
              <w:rPr>
                <w:rFonts w:hint="eastAsia" w:ascii="仿宋_GB2312" w:eastAsia="仿宋_GB2312"/>
                <w:color w:val="000000"/>
                <w:sz w:val="24"/>
              </w:rPr>
              <w:t>5</w:t>
            </w:r>
          </w:p>
        </w:tc>
        <w:tc>
          <w:tcPr>
            <w:tcW w:w="3166" w:type="dxa"/>
            <w:vAlign w:val="center"/>
          </w:tcPr>
          <w:p w14:paraId="132CF194">
            <w:pPr>
              <w:snapToGrid w:val="0"/>
              <w:rPr>
                <w:rFonts w:ascii="仿宋_GB2312" w:hAnsi="仿宋" w:eastAsia="仿宋_GB2312"/>
                <w:bCs/>
                <w:color w:val="000000"/>
                <w:sz w:val="24"/>
              </w:rPr>
            </w:pPr>
            <w:r>
              <w:rPr>
                <w:rFonts w:hint="eastAsia" w:ascii="仿宋_GB2312" w:hAnsi="仿宋" w:eastAsia="仿宋_GB2312"/>
                <w:bCs/>
                <w:color w:val="000000"/>
                <w:sz w:val="24"/>
              </w:rPr>
              <w:t>从事中央纪律检查委员会事业单位的监察目标人物的工作</w:t>
            </w:r>
          </w:p>
        </w:tc>
        <w:tc>
          <w:tcPr>
            <w:tcW w:w="2312" w:type="dxa"/>
            <w:vAlign w:val="center"/>
          </w:tcPr>
          <w:p w14:paraId="03A9FA31">
            <w:pPr>
              <w:snapToGrid w:val="0"/>
              <w:rPr>
                <w:rFonts w:ascii="仿宋_GB2312" w:hAnsi="仿宋" w:eastAsia="仿宋_GB2312"/>
                <w:bCs/>
                <w:color w:val="000000"/>
                <w:sz w:val="24"/>
              </w:rPr>
            </w:pPr>
            <w:r>
              <w:rPr>
                <w:rFonts w:hint="eastAsia" w:ascii="仿宋_GB2312" w:hAnsi="仿宋" w:eastAsia="仿宋_GB2312"/>
                <w:bCs/>
                <w:color w:val="000000"/>
                <w:sz w:val="24"/>
              </w:rPr>
              <w:t>中纪委监察员</w:t>
            </w:r>
          </w:p>
        </w:tc>
        <w:tc>
          <w:tcPr>
            <w:tcW w:w="2749" w:type="dxa"/>
            <w:vAlign w:val="center"/>
          </w:tcPr>
          <w:p w14:paraId="49DD5149">
            <w:pPr>
              <w:snapToGrid w:val="0"/>
              <w:ind w:firstLine="480" w:firstLineChars="200"/>
              <w:rPr>
                <w:rFonts w:ascii="仿宋_GB2312" w:hAnsi="仿宋" w:eastAsia="仿宋_GB2312"/>
                <w:bCs/>
                <w:color w:val="000000"/>
                <w:sz w:val="24"/>
              </w:rPr>
            </w:pPr>
          </w:p>
        </w:tc>
      </w:tr>
      <w:tr w14:paraId="2181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1" w:type="dxa"/>
            <w:vAlign w:val="center"/>
          </w:tcPr>
          <w:p w14:paraId="063D34F0">
            <w:pPr>
              <w:jc w:val="center"/>
              <w:rPr>
                <w:rFonts w:ascii="仿宋_GB2312" w:eastAsia="仿宋_GB2312"/>
                <w:color w:val="000000"/>
                <w:sz w:val="24"/>
              </w:rPr>
            </w:pPr>
            <w:r>
              <w:rPr>
                <w:rFonts w:hint="eastAsia" w:ascii="仿宋_GB2312" w:eastAsia="仿宋_GB2312"/>
                <w:color w:val="000000"/>
                <w:sz w:val="24"/>
              </w:rPr>
              <w:t>6</w:t>
            </w:r>
          </w:p>
        </w:tc>
        <w:tc>
          <w:tcPr>
            <w:tcW w:w="3166" w:type="dxa"/>
            <w:vAlign w:val="center"/>
          </w:tcPr>
          <w:p w14:paraId="4F282E5F">
            <w:pPr>
              <w:snapToGrid w:val="0"/>
              <w:rPr>
                <w:rFonts w:ascii="仿宋_GB2312" w:hAnsi="仿宋" w:eastAsia="仿宋_GB2312"/>
                <w:bCs/>
                <w:color w:val="000000"/>
                <w:sz w:val="24"/>
              </w:rPr>
            </w:pPr>
            <w:r>
              <w:rPr>
                <w:rFonts w:hint="eastAsia" w:ascii="仿宋_GB2312" w:hAnsi="仿宋" w:eastAsia="仿宋_GB2312"/>
                <w:bCs/>
                <w:color w:val="000000"/>
                <w:sz w:val="24"/>
              </w:rPr>
              <w:t>从事警务辅助人员、公安协警、公安局交通疏导员、刑事技术助理、司法辅助人员工作</w:t>
            </w:r>
          </w:p>
        </w:tc>
        <w:tc>
          <w:tcPr>
            <w:tcW w:w="2312" w:type="dxa"/>
            <w:vAlign w:val="center"/>
          </w:tcPr>
          <w:p w14:paraId="6890A13B">
            <w:pPr>
              <w:snapToGrid w:val="0"/>
              <w:rPr>
                <w:rFonts w:ascii="仿宋_GB2312" w:hAnsi="仿宋" w:eastAsia="仿宋_GB2312"/>
                <w:bCs/>
                <w:color w:val="000000"/>
                <w:sz w:val="24"/>
              </w:rPr>
            </w:pPr>
            <w:r>
              <w:rPr>
                <w:rFonts w:hint="eastAsia" w:ascii="仿宋_GB2312" w:hAnsi="仿宋" w:eastAsia="仿宋_GB2312"/>
                <w:bCs/>
                <w:color w:val="000000"/>
                <w:sz w:val="24"/>
              </w:rPr>
              <w:t>北京市朝阳区、西城区辅警</w:t>
            </w:r>
          </w:p>
        </w:tc>
        <w:tc>
          <w:tcPr>
            <w:tcW w:w="2749" w:type="dxa"/>
            <w:vAlign w:val="center"/>
          </w:tcPr>
          <w:p w14:paraId="0A7DD42D">
            <w:pPr>
              <w:snapToGrid w:val="0"/>
              <w:ind w:firstLine="480" w:firstLineChars="200"/>
              <w:rPr>
                <w:rFonts w:ascii="仿宋_GB2312" w:hAnsi="仿宋" w:eastAsia="仿宋_GB2312"/>
                <w:bCs/>
                <w:color w:val="000000"/>
                <w:sz w:val="24"/>
              </w:rPr>
            </w:pPr>
          </w:p>
        </w:tc>
      </w:tr>
      <w:tr w14:paraId="299A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1" w:type="dxa"/>
            <w:vAlign w:val="center"/>
          </w:tcPr>
          <w:p w14:paraId="03CCFEFF">
            <w:pPr>
              <w:jc w:val="center"/>
              <w:rPr>
                <w:rFonts w:ascii="仿宋_GB2312" w:eastAsia="仿宋_GB2312"/>
                <w:color w:val="000000"/>
                <w:sz w:val="24"/>
              </w:rPr>
            </w:pPr>
            <w:r>
              <w:rPr>
                <w:rFonts w:hint="eastAsia" w:ascii="仿宋_GB2312" w:eastAsia="仿宋_GB2312"/>
                <w:color w:val="000000"/>
                <w:sz w:val="24"/>
              </w:rPr>
              <w:t>7</w:t>
            </w:r>
          </w:p>
        </w:tc>
        <w:tc>
          <w:tcPr>
            <w:tcW w:w="3166" w:type="dxa"/>
            <w:vAlign w:val="center"/>
          </w:tcPr>
          <w:p w14:paraId="290ABA4A">
            <w:pPr>
              <w:snapToGrid w:val="0"/>
              <w:rPr>
                <w:rFonts w:ascii="仿宋_GB2312" w:hAnsi="仿宋" w:eastAsia="仿宋_GB2312"/>
                <w:bCs/>
                <w:color w:val="000000"/>
                <w:sz w:val="24"/>
              </w:rPr>
            </w:pPr>
            <w:r>
              <w:rPr>
                <w:rFonts w:hint="eastAsia" w:ascii="仿宋_GB2312" w:hAnsi="仿宋" w:eastAsia="仿宋_GB2312"/>
                <w:bCs/>
                <w:color w:val="000000"/>
                <w:sz w:val="24"/>
              </w:rPr>
              <w:t>从事高端企业（例：华为、VIVO、阿里巴巴等）研发中心等高机密区域的信息保护工作</w:t>
            </w:r>
          </w:p>
        </w:tc>
        <w:tc>
          <w:tcPr>
            <w:tcW w:w="2312" w:type="dxa"/>
            <w:vAlign w:val="center"/>
          </w:tcPr>
          <w:p w14:paraId="446DF76A">
            <w:pPr>
              <w:snapToGrid w:val="0"/>
              <w:rPr>
                <w:rFonts w:ascii="仿宋_GB2312" w:hAnsi="仿宋" w:eastAsia="仿宋_GB2312"/>
                <w:bCs/>
                <w:color w:val="000000"/>
                <w:sz w:val="24"/>
              </w:rPr>
            </w:pPr>
            <w:r>
              <w:rPr>
                <w:rFonts w:hint="eastAsia" w:ascii="仿宋_GB2312" w:hAnsi="仿宋" w:eastAsia="仿宋_GB2312"/>
                <w:bCs/>
                <w:color w:val="000000"/>
                <w:sz w:val="24"/>
              </w:rPr>
              <w:t>高端企业信息安全员</w:t>
            </w:r>
          </w:p>
        </w:tc>
        <w:tc>
          <w:tcPr>
            <w:tcW w:w="2749" w:type="dxa"/>
            <w:vAlign w:val="center"/>
          </w:tcPr>
          <w:p w14:paraId="0FC9C784">
            <w:pPr>
              <w:snapToGrid w:val="0"/>
              <w:ind w:firstLine="480" w:firstLineChars="200"/>
              <w:rPr>
                <w:rFonts w:ascii="仿宋_GB2312" w:hAnsi="仿宋" w:eastAsia="仿宋_GB2312"/>
                <w:bCs/>
                <w:color w:val="000000"/>
                <w:sz w:val="24"/>
              </w:rPr>
            </w:pPr>
          </w:p>
        </w:tc>
      </w:tr>
      <w:tr w14:paraId="3A31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91" w:type="dxa"/>
            <w:vAlign w:val="center"/>
          </w:tcPr>
          <w:p w14:paraId="2C3B685E">
            <w:pPr>
              <w:jc w:val="center"/>
              <w:rPr>
                <w:rFonts w:ascii="仿宋_GB2312" w:eastAsia="仿宋_GB2312"/>
                <w:color w:val="000000"/>
                <w:sz w:val="24"/>
              </w:rPr>
            </w:pPr>
            <w:r>
              <w:rPr>
                <w:rFonts w:hint="eastAsia" w:ascii="仿宋_GB2312" w:eastAsia="仿宋_GB2312"/>
                <w:color w:val="000000"/>
                <w:sz w:val="24"/>
              </w:rPr>
              <w:t>8</w:t>
            </w:r>
          </w:p>
        </w:tc>
        <w:tc>
          <w:tcPr>
            <w:tcW w:w="3166" w:type="dxa"/>
            <w:vAlign w:val="center"/>
          </w:tcPr>
          <w:p w14:paraId="07FC50FB">
            <w:pPr>
              <w:snapToGrid w:val="0"/>
              <w:rPr>
                <w:rFonts w:ascii="仿宋_GB2312" w:hAnsi="仿宋" w:eastAsia="仿宋_GB2312"/>
                <w:bCs/>
                <w:color w:val="000000"/>
                <w:sz w:val="24"/>
              </w:rPr>
            </w:pPr>
            <w:r>
              <w:rPr>
                <w:rFonts w:hint="eastAsia" w:ascii="仿宋_GB2312" w:hAnsi="仿宋" w:eastAsia="仿宋_GB2312"/>
                <w:bCs/>
                <w:color w:val="000000"/>
                <w:sz w:val="24"/>
              </w:rPr>
              <w:t>从事国资委旗下各类型事业单位的人员及安全检查工作</w:t>
            </w:r>
          </w:p>
        </w:tc>
        <w:tc>
          <w:tcPr>
            <w:tcW w:w="2312" w:type="dxa"/>
            <w:vAlign w:val="center"/>
          </w:tcPr>
          <w:p w14:paraId="48573A1B">
            <w:pPr>
              <w:snapToGrid w:val="0"/>
              <w:rPr>
                <w:rFonts w:ascii="仿宋_GB2312" w:hAnsi="仿宋" w:eastAsia="仿宋_GB2312"/>
                <w:bCs/>
                <w:color w:val="000000"/>
                <w:sz w:val="24"/>
              </w:rPr>
            </w:pPr>
            <w:r>
              <w:rPr>
                <w:rFonts w:hint="eastAsia" w:ascii="仿宋_GB2312" w:hAnsi="仿宋" w:eastAsia="仿宋_GB2312"/>
                <w:bCs/>
                <w:color w:val="000000"/>
                <w:sz w:val="24"/>
              </w:rPr>
              <w:t>口岸、市民中心安检员</w:t>
            </w:r>
          </w:p>
        </w:tc>
        <w:tc>
          <w:tcPr>
            <w:tcW w:w="2749" w:type="dxa"/>
            <w:vAlign w:val="center"/>
          </w:tcPr>
          <w:p w14:paraId="51CD17D6">
            <w:pPr>
              <w:snapToGrid w:val="0"/>
              <w:ind w:firstLine="480" w:firstLineChars="200"/>
              <w:rPr>
                <w:rFonts w:ascii="仿宋_GB2312" w:hAnsi="仿宋" w:eastAsia="仿宋_GB2312"/>
                <w:bCs/>
                <w:color w:val="000000"/>
                <w:sz w:val="24"/>
              </w:rPr>
            </w:pPr>
          </w:p>
        </w:tc>
      </w:tr>
      <w:tr w14:paraId="03F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91" w:type="dxa"/>
            <w:vAlign w:val="center"/>
          </w:tcPr>
          <w:p w14:paraId="479B1444">
            <w:pPr>
              <w:jc w:val="center"/>
              <w:rPr>
                <w:rFonts w:ascii="仿宋_GB2312" w:eastAsia="仿宋_GB2312"/>
                <w:color w:val="000000"/>
                <w:sz w:val="24"/>
              </w:rPr>
            </w:pPr>
            <w:r>
              <w:rPr>
                <w:rFonts w:hint="eastAsia" w:ascii="仿宋_GB2312" w:eastAsia="仿宋_GB2312"/>
                <w:color w:val="000000"/>
                <w:sz w:val="24"/>
              </w:rPr>
              <w:t>9</w:t>
            </w:r>
          </w:p>
        </w:tc>
        <w:tc>
          <w:tcPr>
            <w:tcW w:w="3166" w:type="dxa"/>
            <w:vAlign w:val="center"/>
          </w:tcPr>
          <w:p w14:paraId="7F95F5F8">
            <w:pPr>
              <w:snapToGrid w:val="0"/>
              <w:rPr>
                <w:rFonts w:ascii="仿宋_GB2312" w:hAnsi="仿宋" w:eastAsia="仿宋_GB2312"/>
                <w:bCs/>
                <w:color w:val="000000"/>
                <w:sz w:val="24"/>
              </w:rPr>
            </w:pPr>
            <w:r>
              <w:rPr>
                <w:rFonts w:hint="eastAsia" w:ascii="仿宋_GB2312" w:hAnsi="仿宋" w:eastAsia="仿宋_GB2312"/>
                <w:bCs/>
                <w:color w:val="000000"/>
                <w:sz w:val="24"/>
              </w:rPr>
              <w:t>在竞技体育、学校体育、部队体育以外的群众性体育活动中从事技能传授、锻炼指导和组织管理工作</w:t>
            </w:r>
          </w:p>
        </w:tc>
        <w:tc>
          <w:tcPr>
            <w:tcW w:w="2312" w:type="dxa"/>
            <w:vAlign w:val="center"/>
          </w:tcPr>
          <w:p w14:paraId="0097C514">
            <w:pPr>
              <w:snapToGrid w:val="0"/>
              <w:rPr>
                <w:rFonts w:ascii="仿宋_GB2312" w:hAnsi="仿宋" w:eastAsia="仿宋_GB2312"/>
                <w:bCs/>
                <w:color w:val="000000"/>
                <w:sz w:val="24"/>
              </w:rPr>
            </w:pPr>
            <w:r>
              <w:rPr>
                <w:rFonts w:hint="eastAsia" w:ascii="仿宋_GB2312" w:hAnsi="仿宋" w:eastAsia="仿宋_GB2312"/>
                <w:bCs/>
                <w:color w:val="000000"/>
                <w:sz w:val="24"/>
              </w:rPr>
              <w:t>社会体育指导员</w:t>
            </w:r>
          </w:p>
        </w:tc>
        <w:tc>
          <w:tcPr>
            <w:tcW w:w="2749" w:type="dxa"/>
            <w:vAlign w:val="center"/>
          </w:tcPr>
          <w:p w14:paraId="29B1E4AB">
            <w:pPr>
              <w:snapToGrid w:val="0"/>
              <w:ind w:firstLine="480" w:firstLineChars="200"/>
              <w:rPr>
                <w:rFonts w:ascii="仿宋_GB2312" w:hAnsi="仿宋" w:eastAsia="仿宋_GB2312"/>
                <w:bCs/>
                <w:color w:val="000000"/>
                <w:sz w:val="24"/>
              </w:rPr>
            </w:pPr>
            <w:r>
              <w:rPr>
                <w:rFonts w:hint="eastAsia" w:ascii="仿宋_GB2312" w:hAnsi="仿宋" w:eastAsia="仿宋_GB2312"/>
                <w:bCs/>
                <w:color w:val="000000"/>
                <w:sz w:val="24"/>
              </w:rPr>
              <w:t>社会体育指导员</w:t>
            </w:r>
          </w:p>
        </w:tc>
      </w:tr>
    </w:tbl>
    <w:p w14:paraId="6AC34B9A">
      <w:pPr>
        <w:spacing w:line="360" w:lineRule="auto"/>
        <w:ind w:firstLine="630" w:firstLineChars="196"/>
        <w:outlineLvl w:val="0"/>
        <w:rPr>
          <w:rFonts w:ascii="仿宋_GB2312" w:hAnsi="黑体" w:eastAsia="仿宋_GB2312"/>
          <w:b/>
          <w:bCs/>
          <w:color w:val="000000"/>
          <w:sz w:val="32"/>
          <w:szCs w:val="32"/>
        </w:rPr>
      </w:pPr>
      <w:bookmarkStart w:id="3" w:name="_Toc22318_WPSOffice_Level1"/>
    </w:p>
    <w:p w14:paraId="37826763">
      <w:pPr>
        <w:spacing w:line="360" w:lineRule="auto"/>
        <w:ind w:firstLine="630" w:firstLineChars="196"/>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五、</w:t>
      </w:r>
      <w:bookmarkEnd w:id="3"/>
      <w:r>
        <w:rPr>
          <w:rFonts w:hint="eastAsia" w:ascii="仿宋_GB2312" w:hAnsi="黑体" w:eastAsia="仿宋_GB2312"/>
          <w:b/>
          <w:bCs/>
          <w:color w:val="000000"/>
          <w:sz w:val="32"/>
          <w:szCs w:val="32"/>
        </w:rPr>
        <w:t>培养目标与培养规格</w:t>
      </w:r>
    </w:p>
    <w:p w14:paraId="3D876C16">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rPr>
        <w:t>㈠培养目标</w:t>
      </w:r>
    </w:p>
    <w:p w14:paraId="17C63F3B">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通过学习，使学生具有良好的职业道德和职业素养，培养具备具有良好的职业道德、创业精神和健全的体魄，具有较强的安全意识、服务意识、团队意识和语言沟通能力,掌握本专业所必需的军事理论知识和军事实践能力等，具有较强的开展治安调查，获取、分析、研判治安工作信息、开展安全防范工作、群众工作，调解治安纠纷、查处治安案件、预防和处置群体性事件、熟练运用计算机，开展网上办公、办案、具有自我发展的能力。形成良好的心理素质、身体素质。毕业后能运用所学理论知识和技能，在各企事业单位从事安全管理等实际工作。</w:t>
      </w:r>
    </w:p>
    <w:p w14:paraId="11726696">
      <w:pPr>
        <w:spacing w:line="360" w:lineRule="auto"/>
        <w:ind w:firstLine="643" w:firstLineChars="200"/>
        <w:outlineLvl w:val="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㈡培养规格</w:t>
      </w:r>
    </w:p>
    <w:p w14:paraId="47D38817">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1.热爱社会主义祖国，将实现自身价值与服务祖国人民相结合，树立社会主义民主观念和遵纪守法意识，遵守职业岗位规范；树立劳动观点，养成良好的劳动习惯，增强实践能力；树立尊重自然、顺应自然、保护自然的生态文明理念；树立正确的职业理想，形成正确的就业观、创业观，做好适应社会、融入社会、就业创业准备。</w:t>
      </w:r>
    </w:p>
    <w:p w14:paraId="26E44C21">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2.具有社会公德、职业道德意识和文明行为习惯，自觉践行社会主义核心价值观。</w:t>
      </w:r>
    </w:p>
    <w:p w14:paraId="0BDC8ECD">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3.具有健全的人格、良好的心理品质和健康的身体，培养诚实守信、爱岗敬业、团结互助、勤俭节约、艰苦奋斗的优良品质，提高应对挫折、合作与竞争、适应社会的能力。</w:t>
      </w:r>
    </w:p>
    <w:p w14:paraId="3051783F">
      <w:pPr>
        <w:spacing w:line="360" w:lineRule="auto"/>
        <w:ind w:firstLine="640" w:firstLineChars="200"/>
        <w:outlineLvl w:val="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4.热爱安全保卫事业，具有社主义法治理念、组织纪律观念、群众观念和良好的职业道德；实战能力强，善于沟通，能够综合运用相关专业知识和技能解决实际问题，胜任城市轨道交通安全保卫岗位工作。</w:t>
      </w:r>
    </w:p>
    <w:p w14:paraId="7AB211F2">
      <w:pPr>
        <w:spacing w:line="360" w:lineRule="auto"/>
        <w:ind w:firstLine="643" w:firstLineChars="200"/>
        <w:outlineLvl w:val="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六、课程设置及要求</w:t>
      </w:r>
    </w:p>
    <w:p w14:paraId="7735BF08">
      <w:pPr>
        <w:pStyle w:val="11"/>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本专业课程设置分为公共基础课和专业（技能）课。</w:t>
      </w:r>
    </w:p>
    <w:p w14:paraId="21702B54">
      <w:pPr>
        <w:pStyle w:val="11"/>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公共基础课包括德育课、文化课、体育与健康、公共艺术、历史，以及其他自然科学和人文科学类基础课。</w:t>
      </w:r>
    </w:p>
    <w:p w14:paraId="53F90551">
      <w:pPr>
        <w:pStyle w:val="11"/>
        <w:spacing w:line="360" w:lineRule="auto"/>
        <w:ind w:firstLine="640" w:firstLineChars="200"/>
        <w:rPr>
          <w:rFonts w:ascii="仿宋" w:hAnsi="仿宋" w:eastAsia="仿宋" w:cs="仿宋"/>
          <w:sz w:val="32"/>
          <w:szCs w:val="32"/>
        </w:rPr>
      </w:pPr>
      <w:r>
        <w:rPr>
          <w:rFonts w:hint="eastAsia" w:ascii="仿宋_GB2312" w:hAnsi="仿宋" w:eastAsia="仿宋_GB2312" w:cs="仿宋"/>
          <w:sz w:val="32"/>
          <w:szCs w:val="32"/>
        </w:rPr>
        <w:t>专业技能课包括</w:t>
      </w:r>
      <w:r>
        <w:rPr>
          <w:rFonts w:hint="eastAsia" w:ascii="仿宋_GB2312" w:hAnsi="仿宋" w:eastAsia="仿宋_GB2312" w:cs="仿宋"/>
          <w:sz w:val="32"/>
          <w:szCs w:val="32"/>
          <w:lang w:val="en-US" w:eastAsia="zh-CN"/>
        </w:rPr>
        <w:t>专业基础课、</w:t>
      </w:r>
      <w:r>
        <w:rPr>
          <w:rFonts w:hint="eastAsia" w:ascii="仿宋_GB2312" w:hAnsi="仿宋" w:eastAsia="仿宋_GB2312" w:cs="仿宋"/>
          <w:sz w:val="32"/>
          <w:szCs w:val="32"/>
        </w:rPr>
        <w:t>专业核心课、专业</w:t>
      </w:r>
      <w:r>
        <w:rPr>
          <w:rFonts w:hint="eastAsia" w:ascii="仿宋_GB2312" w:hAnsi="仿宋" w:eastAsia="仿宋_GB2312" w:cs="仿宋"/>
          <w:sz w:val="32"/>
          <w:szCs w:val="32"/>
          <w:lang w:val="en-US" w:eastAsia="zh-CN"/>
        </w:rPr>
        <w:t>拓展</w:t>
      </w:r>
      <w:r>
        <w:rPr>
          <w:rFonts w:hint="eastAsia" w:ascii="仿宋_GB2312" w:hAnsi="仿宋" w:eastAsia="仿宋_GB2312" w:cs="仿宋"/>
          <w:sz w:val="32"/>
          <w:szCs w:val="32"/>
        </w:rPr>
        <w:t>课和专业选修课，实习实训是专业技能课教学的重要内容，含校内外实训、顶岗实习等多种形式。</w:t>
      </w:r>
    </w:p>
    <w:p w14:paraId="0ED0DF40">
      <w:pPr>
        <w:spacing w:line="560" w:lineRule="exact"/>
        <w:ind w:firstLine="643" w:firstLineChars="200"/>
        <w:outlineLvl w:val="0"/>
        <w:rPr>
          <w:rFonts w:ascii="仿宋_GB2312" w:hAnsi="黑体" w:eastAsia="仿宋_GB2312"/>
          <w:b/>
          <w:bCs/>
          <w:color w:val="000000"/>
          <w:sz w:val="32"/>
          <w:szCs w:val="32"/>
        </w:rPr>
      </w:pPr>
      <w:r>
        <w:rPr>
          <w:rFonts w:hint="eastAsia" w:ascii="仿宋_GB2312" w:hAnsi="宋体" w:eastAsia="仿宋_GB2312"/>
          <w:b/>
          <w:bCs/>
          <w:color w:val="000000"/>
          <w:sz w:val="32"/>
          <w:szCs w:val="32"/>
        </w:rPr>
        <w:t>㈠</w:t>
      </w:r>
      <w:r>
        <w:rPr>
          <w:rFonts w:hint="eastAsia" w:ascii="仿宋_GB2312" w:hAnsi="黑体" w:eastAsia="仿宋_GB2312"/>
          <w:b/>
          <w:bCs/>
          <w:color w:val="000000"/>
          <w:sz w:val="32"/>
          <w:szCs w:val="32"/>
        </w:rPr>
        <w:t>公共基础课程</w:t>
      </w:r>
    </w:p>
    <w:tbl>
      <w:tblPr>
        <w:tblStyle w:val="6"/>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4" w:type="dxa"/>
          <w:left w:w="74" w:type="dxa"/>
          <w:bottom w:w="74" w:type="dxa"/>
          <w:right w:w="74" w:type="dxa"/>
        </w:tblCellMar>
      </w:tblPr>
      <w:tblGrid>
        <w:gridCol w:w="704"/>
        <w:gridCol w:w="2401"/>
        <w:gridCol w:w="5900"/>
        <w:gridCol w:w="708"/>
      </w:tblGrid>
      <w:tr w14:paraId="1B25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702" w:hRule="atLeast"/>
          <w:jc w:val="center"/>
        </w:trPr>
        <w:tc>
          <w:tcPr>
            <w:tcW w:w="704" w:type="dxa"/>
            <w:vAlign w:val="center"/>
          </w:tcPr>
          <w:p w14:paraId="290F358C">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序号</w:t>
            </w:r>
          </w:p>
        </w:tc>
        <w:tc>
          <w:tcPr>
            <w:tcW w:w="2401" w:type="dxa"/>
            <w:vAlign w:val="center"/>
          </w:tcPr>
          <w:p w14:paraId="185A0981">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课程名称</w:t>
            </w:r>
          </w:p>
        </w:tc>
        <w:tc>
          <w:tcPr>
            <w:tcW w:w="5900" w:type="dxa"/>
            <w:vAlign w:val="center"/>
          </w:tcPr>
          <w:p w14:paraId="4734CC0F">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主要教学内容和要求</w:t>
            </w:r>
          </w:p>
        </w:tc>
        <w:tc>
          <w:tcPr>
            <w:tcW w:w="708" w:type="dxa"/>
            <w:vAlign w:val="center"/>
          </w:tcPr>
          <w:p w14:paraId="18C4099C">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参考</w:t>
            </w:r>
          </w:p>
          <w:p w14:paraId="08D941FD">
            <w:pPr>
              <w:tabs>
                <w:tab w:val="left" w:pos="250"/>
              </w:tabs>
              <w:kinsoku w:val="0"/>
              <w:overflowPunct w:val="0"/>
              <w:autoSpaceDE w:val="0"/>
              <w:autoSpaceDN w:val="0"/>
              <w:jc w:val="center"/>
              <w:rPr>
                <w:rFonts w:ascii="仿宋_GB2312" w:hAnsi="仿宋" w:eastAsia="仿宋_GB2312"/>
                <w:b/>
                <w:sz w:val="24"/>
              </w:rPr>
            </w:pPr>
            <w:r>
              <w:rPr>
                <w:rFonts w:hint="eastAsia" w:ascii="仿宋_GB2312" w:hAnsi="仿宋" w:eastAsia="仿宋_GB2312"/>
                <w:b/>
                <w:sz w:val="24"/>
              </w:rPr>
              <w:t>学时</w:t>
            </w:r>
          </w:p>
        </w:tc>
      </w:tr>
      <w:tr w14:paraId="5F6E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jc w:val="center"/>
        </w:trPr>
        <w:tc>
          <w:tcPr>
            <w:tcW w:w="704" w:type="dxa"/>
            <w:vAlign w:val="center"/>
          </w:tcPr>
          <w:p w14:paraId="088D5A2F">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1</w:t>
            </w:r>
          </w:p>
        </w:tc>
        <w:tc>
          <w:tcPr>
            <w:tcW w:w="2401" w:type="dxa"/>
            <w:vAlign w:val="center"/>
          </w:tcPr>
          <w:p w14:paraId="48B26B35">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中国特色社会主义</w:t>
            </w:r>
          </w:p>
        </w:tc>
        <w:tc>
          <w:tcPr>
            <w:tcW w:w="5900" w:type="dxa"/>
            <w:vAlign w:val="center"/>
          </w:tcPr>
          <w:p w14:paraId="54E41791">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14:paraId="04847194">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36</w:t>
            </w:r>
          </w:p>
        </w:tc>
      </w:tr>
      <w:tr w14:paraId="2A50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jc w:val="center"/>
        </w:trPr>
        <w:tc>
          <w:tcPr>
            <w:tcW w:w="704" w:type="dxa"/>
            <w:vAlign w:val="center"/>
          </w:tcPr>
          <w:p w14:paraId="3EBA4EB4">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2</w:t>
            </w:r>
          </w:p>
        </w:tc>
        <w:tc>
          <w:tcPr>
            <w:tcW w:w="2401" w:type="dxa"/>
            <w:vAlign w:val="center"/>
          </w:tcPr>
          <w:p w14:paraId="1DCA2550">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心理健康与职业生涯</w:t>
            </w:r>
          </w:p>
        </w:tc>
        <w:tc>
          <w:tcPr>
            <w:tcW w:w="5900" w:type="dxa"/>
            <w:vAlign w:val="center"/>
          </w:tcPr>
          <w:p w14:paraId="2A6D3DEE">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14:paraId="71E71793">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36</w:t>
            </w:r>
          </w:p>
        </w:tc>
      </w:tr>
      <w:tr w14:paraId="6381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jc w:val="center"/>
        </w:trPr>
        <w:tc>
          <w:tcPr>
            <w:tcW w:w="704" w:type="dxa"/>
            <w:vAlign w:val="center"/>
          </w:tcPr>
          <w:p w14:paraId="4FED9416">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3</w:t>
            </w:r>
          </w:p>
        </w:tc>
        <w:tc>
          <w:tcPr>
            <w:tcW w:w="2401" w:type="dxa"/>
            <w:vAlign w:val="center"/>
          </w:tcPr>
          <w:p w14:paraId="128C11A1">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哲学与人生</w:t>
            </w:r>
          </w:p>
        </w:tc>
        <w:tc>
          <w:tcPr>
            <w:tcW w:w="5900" w:type="dxa"/>
            <w:vAlign w:val="center"/>
          </w:tcPr>
          <w:p w14:paraId="2AD7B1F5">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14:paraId="680C1462">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36</w:t>
            </w:r>
          </w:p>
        </w:tc>
      </w:tr>
      <w:tr w14:paraId="4DC8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7" w:hRule="atLeast"/>
          <w:jc w:val="center"/>
        </w:trPr>
        <w:tc>
          <w:tcPr>
            <w:tcW w:w="704" w:type="dxa"/>
            <w:vAlign w:val="center"/>
          </w:tcPr>
          <w:p w14:paraId="7781F2F4">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4</w:t>
            </w:r>
          </w:p>
        </w:tc>
        <w:tc>
          <w:tcPr>
            <w:tcW w:w="2401" w:type="dxa"/>
            <w:vAlign w:val="center"/>
          </w:tcPr>
          <w:p w14:paraId="18F911F6">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职业道德与法治</w:t>
            </w:r>
          </w:p>
        </w:tc>
        <w:tc>
          <w:tcPr>
            <w:tcW w:w="5900" w:type="dxa"/>
            <w:vAlign w:val="center"/>
          </w:tcPr>
          <w:p w14:paraId="6DF45D63">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依据《中等职业学校思想政治科课程标准》开设，并与专业实际和行业发展密切结合</w:t>
            </w:r>
          </w:p>
        </w:tc>
        <w:tc>
          <w:tcPr>
            <w:tcW w:w="708" w:type="dxa"/>
            <w:vAlign w:val="center"/>
          </w:tcPr>
          <w:p w14:paraId="61B53ACB">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36</w:t>
            </w:r>
          </w:p>
        </w:tc>
      </w:tr>
      <w:tr w14:paraId="1A42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jc w:val="center"/>
        </w:trPr>
        <w:tc>
          <w:tcPr>
            <w:tcW w:w="704" w:type="dxa"/>
            <w:vAlign w:val="center"/>
          </w:tcPr>
          <w:p w14:paraId="7DD26E1D">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5</w:t>
            </w:r>
          </w:p>
        </w:tc>
        <w:tc>
          <w:tcPr>
            <w:tcW w:w="2401" w:type="dxa"/>
            <w:vAlign w:val="center"/>
          </w:tcPr>
          <w:p w14:paraId="788E09D2">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语文</w:t>
            </w:r>
          </w:p>
        </w:tc>
        <w:tc>
          <w:tcPr>
            <w:tcW w:w="5900" w:type="dxa"/>
            <w:vAlign w:val="center"/>
          </w:tcPr>
          <w:p w14:paraId="0127866B">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依据《中等职业学校语文课程标准》开设，并注重在职业模块的教学内容中体现专业特色</w:t>
            </w:r>
          </w:p>
        </w:tc>
        <w:tc>
          <w:tcPr>
            <w:tcW w:w="708" w:type="dxa"/>
            <w:vAlign w:val="center"/>
          </w:tcPr>
          <w:p w14:paraId="484240DC">
            <w:pPr>
              <w:kinsoku w:val="0"/>
              <w:overflowPunct w:val="0"/>
              <w:autoSpaceDE w:val="0"/>
              <w:autoSpaceDN w:val="0"/>
              <w:snapToGrid/>
              <w:spacing w:line="276" w:lineRule="auto"/>
              <w:ind w:firstLine="0" w:firstLineChars="0"/>
              <w:jc w:val="center"/>
              <w:rPr>
                <w:rFonts w:hint="default" w:ascii="仿宋_GB2312" w:hAnsi="仿宋" w:eastAsia="仿宋_GB2312"/>
                <w:sz w:val="24"/>
                <w:lang w:val="en-US"/>
              </w:rPr>
            </w:pPr>
            <w:r>
              <w:rPr>
                <w:rFonts w:hint="eastAsia" w:ascii="仿宋" w:hAnsi="仿宋" w:eastAsia="仿宋"/>
                <w:sz w:val="24"/>
                <w:szCs w:val="24"/>
                <w:lang w:val="en-US" w:eastAsia="zh-CN"/>
              </w:rPr>
              <w:t>240</w:t>
            </w:r>
          </w:p>
        </w:tc>
      </w:tr>
      <w:tr w14:paraId="5CB1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305" w:hRule="atLeast"/>
          <w:jc w:val="center"/>
        </w:trPr>
        <w:tc>
          <w:tcPr>
            <w:tcW w:w="704" w:type="dxa"/>
            <w:vAlign w:val="center"/>
          </w:tcPr>
          <w:p w14:paraId="62F4465E">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6</w:t>
            </w:r>
          </w:p>
        </w:tc>
        <w:tc>
          <w:tcPr>
            <w:tcW w:w="2401" w:type="dxa"/>
            <w:vAlign w:val="center"/>
          </w:tcPr>
          <w:p w14:paraId="0A6BFA9A">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数学</w:t>
            </w:r>
          </w:p>
        </w:tc>
        <w:tc>
          <w:tcPr>
            <w:tcW w:w="5900" w:type="dxa"/>
            <w:vAlign w:val="center"/>
          </w:tcPr>
          <w:p w14:paraId="5E44973E">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依据《中等职业学校数学教学课程标准》开设，并注重在职业模块的教学内容中体现专业特色</w:t>
            </w:r>
          </w:p>
        </w:tc>
        <w:tc>
          <w:tcPr>
            <w:tcW w:w="708" w:type="dxa"/>
            <w:vAlign w:val="center"/>
          </w:tcPr>
          <w:p w14:paraId="73EE828D">
            <w:pPr>
              <w:kinsoku w:val="0"/>
              <w:overflowPunct w:val="0"/>
              <w:autoSpaceDE w:val="0"/>
              <w:autoSpaceDN w:val="0"/>
              <w:snapToGrid/>
              <w:spacing w:line="276" w:lineRule="auto"/>
              <w:ind w:firstLine="0" w:firstLineChars="0"/>
              <w:jc w:val="center"/>
              <w:rPr>
                <w:rFonts w:hint="default" w:ascii="仿宋_GB2312" w:hAnsi="仿宋" w:eastAsia="仿宋_GB2312"/>
                <w:sz w:val="24"/>
                <w:lang w:val="en-US"/>
              </w:rPr>
            </w:pPr>
            <w:r>
              <w:rPr>
                <w:rFonts w:hint="eastAsia" w:ascii="仿宋" w:hAnsi="仿宋" w:eastAsia="仿宋"/>
                <w:sz w:val="24"/>
                <w:szCs w:val="24"/>
                <w:lang w:val="en-US" w:eastAsia="zh-CN"/>
              </w:rPr>
              <w:t>240</w:t>
            </w:r>
          </w:p>
        </w:tc>
      </w:tr>
      <w:tr w14:paraId="292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88" w:hRule="atLeast"/>
          <w:jc w:val="center"/>
        </w:trPr>
        <w:tc>
          <w:tcPr>
            <w:tcW w:w="704" w:type="dxa"/>
            <w:vAlign w:val="center"/>
          </w:tcPr>
          <w:p w14:paraId="5784C0AC">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7</w:t>
            </w:r>
          </w:p>
        </w:tc>
        <w:tc>
          <w:tcPr>
            <w:tcW w:w="2401" w:type="dxa"/>
            <w:vAlign w:val="center"/>
          </w:tcPr>
          <w:p w14:paraId="38CA9EDB">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英语</w:t>
            </w:r>
          </w:p>
        </w:tc>
        <w:tc>
          <w:tcPr>
            <w:tcW w:w="5900" w:type="dxa"/>
            <w:vAlign w:val="center"/>
          </w:tcPr>
          <w:p w14:paraId="1BF46B0C">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依据《中等职业学校英语教学课程标准》开设，并注重在职业模块的教学内容中体现专业特色</w:t>
            </w:r>
          </w:p>
        </w:tc>
        <w:tc>
          <w:tcPr>
            <w:tcW w:w="708" w:type="dxa"/>
            <w:vAlign w:val="center"/>
          </w:tcPr>
          <w:p w14:paraId="3DB185DD">
            <w:pPr>
              <w:kinsoku w:val="0"/>
              <w:overflowPunct w:val="0"/>
              <w:autoSpaceDE w:val="0"/>
              <w:autoSpaceDN w:val="0"/>
              <w:snapToGrid/>
              <w:spacing w:line="276" w:lineRule="auto"/>
              <w:ind w:firstLine="0" w:firstLineChars="0"/>
              <w:jc w:val="center"/>
              <w:rPr>
                <w:rFonts w:hint="default" w:ascii="仿宋_GB2312" w:hAnsi="仿宋" w:eastAsia="仿宋_GB2312"/>
                <w:sz w:val="24"/>
                <w:lang w:val="en-US"/>
              </w:rPr>
            </w:pPr>
            <w:r>
              <w:rPr>
                <w:rFonts w:hint="eastAsia" w:ascii="仿宋" w:hAnsi="仿宋" w:eastAsia="仿宋"/>
                <w:sz w:val="24"/>
                <w:szCs w:val="24"/>
                <w:lang w:val="en-US" w:eastAsia="zh-CN"/>
              </w:rPr>
              <w:t>240</w:t>
            </w:r>
          </w:p>
        </w:tc>
      </w:tr>
      <w:tr w14:paraId="0C4B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88" w:hRule="atLeast"/>
          <w:jc w:val="center"/>
        </w:trPr>
        <w:tc>
          <w:tcPr>
            <w:tcW w:w="704" w:type="dxa"/>
            <w:shd w:val="clear" w:color="auto" w:fill="auto"/>
            <w:vAlign w:val="center"/>
          </w:tcPr>
          <w:p w14:paraId="56F12796">
            <w:pPr>
              <w:tabs>
                <w:tab w:val="left" w:pos="250"/>
              </w:tabs>
              <w:kinsoku w:val="0"/>
              <w:overflowPunct w:val="0"/>
              <w:autoSpaceDE w:val="0"/>
              <w:autoSpaceDN w:val="0"/>
              <w:spacing w:line="276" w:lineRule="auto"/>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8</w:t>
            </w:r>
          </w:p>
        </w:tc>
        <w:tc>
          <w:tcPr>
            <w:tcW w:w="2401" w:type="dxa"/>
            <w:vAlign w:val="center"/>
          </w:tcPr>
          <w:p w14:paraId="7E1C1866">
            <w:pPr>
              <w:tabs>
                <w:tab w:val="left" w:pos="250"/>
              </w:tabs>
              <w:kinsoku w:val="0"/>
              <w:overflowPunct w:val="0"/>
              <w:autoSpaceDE w:val="0"/>
              <w:autoSpaceDN w:val="0"/>
              <w:spacing w:line="276" w:lineRule="auto"/>
              <w:jc w:val="center"/>
              <w:rPr>
                <w:rFonts w:hint="eastAsia" w:ascii="仿宋_GB2312" w:hAnsi="仿宋" w:eastAsia="仿宋_GB2312"/>
                <w:sz w:val="24"/>
                <w:lang w:eastAsia="zh-CN"/>
              </w:rPr>
            </w:pPr>
            <w:r>
              <w:rPr>
                <w:rFonts w:hint="eastAsia" w:ascii="仿宋_GB2312" w:hAnsi="仿宋" w:eastAsia="仿宋_GB2312"/>
                <w:sz w:val="24"/>
                <w:lang w:eastAsia="zh-CN"/>
              </w:rPr>
              <w:t>物理</w:t>
            </w:r>
          </w:p>
        </w:tc>
        <w:tc>
          <w:tcPr>
            <w:tcW w:w="5900" w:type="dxa"/>
            <w:vAlign w:val="center"/>
          </w:tcPr>
          <w:p w14:paraId="61EB441D">
            <w:pPr>
              <w:tabs>
                <w:tab w:val="left" w:pos="250"/>
              </w:tabs>
              <w:kinsoku w:val="0"/>
              <w:overflowPunct w:val="0"/>
              <w:autoSpaceDE w:val="0"/>
              <w:autoSpaceDN w:val="0"/>
              <w:spacing w:line="276" w:lineRule="auto"/>
              <w:rPr>
                <w:rFonts w:hint="eastAsia" w:ascii="仿宋_GB2312" w:hAnsi="仿宋" w:eastAsia="仿宋_GB2312"/>
                <w:sz w:val="24"/>
              </w:rPr>
            </w:pPr>
            <w:r>
              <w:rPr>
                <w:rFonts w:hint="eastAsia" w:ascii="仿宋_GB2312" w:hAnsi="仿宋" w:eastAsia="仿宋_GB2312"/>
                <w:sz w:val="24"/>
              </w:rPr>
              <w:t>依据《中等职业学校</w:t>
            </w:r>
            <w:r>
              <w:rPr>
                <w:rFonts w:hint="eastAsia" w:ascii="仿宋_GB2312" w:hAnsi="仿宋" w:eastAsia="仿宋_GB2312"/>
                <w:sz w:val="24"/>
                <w:lang w:eastAsia="zh-CN"/>
              </w:rPr>
              <w:t>物理</w:t>
            </w:r>
            <w:r>
              <w:rPr>
                <w:rFonts w:hint="eastAsia" w:ascii="仿宋_GB2312" w:hAnsi="仿宋" w:eastAsia="仿宋_GB2312"/>
                <w:sz w:val="24"/>
              </w:rPr>
              <w:t>教学课程标准》开设，并注重在职业模块的教学内容中体现专业特色</w:t>
            </w:r>
          </w:p>
        </w:tc>
        <w:tc>
          <w:tcPr>
            <w:tcW w:w="708" w:type="dxa"/>
            <w:vAlign w:val="center"/>
          </w:tcPr>
          <w:p w14:paraId="6C54589A">
            <w:pPr>
              <w:tabs>
                <w:tab w:val="left" w:pos="250"/>
              </w:tabs>
              <w:kinsoku w:val="0"/>
              <w:overflowPunct w:val="0"/>
              <w:autoSpaceDE w:val="0"/>
              <w:autoSpaceDN w:val="0"/>
              <w:snapToGrid/>
              <w:spacing w:line="276" w:lineRule="auto"/>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r>
      <w:tr w14:paraId="7884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84" w:hRule="atLeast"/>
          <w:jc w:val="center"/>
        </w:trPr>
        <w:tc>
          <w:tcPr>
            <w:tcW w:w="704" w:type="dxa"/>
            <w:shd w:val="clear" w:color="auto" w:fill="auto"/>
            <w:vAlign w:val="center"/>
          </w:tcPr>
          <w:p w14:paraId="0CED0C8E">
            <w:pPr>
              <w:tabs>
                <w:tab w:val="left" w:pos="250"/>
              </w:tabs>
              <w:kinsoku w:val="0"/>
              <w:overflowPunct w:val="0"/>
              <w:autoSpaceDE w:val="0"/>
              <w:autoSpaceDN w:val="0"/>
              <w:spacing w:line="276" w:lineRule="auto"/>
              <w:jc w:val="center"/>
              <w:rPr>
                <w:rFonts w:ascii="仿宋_GB2312" w:hAnsi="仿宋" w:eastAsia="仿宋_GB2312" w:cs="Times New Roman"/>
                <w:kern w:val="2"/>
                <w:sz w:val="24"/>
                <w:szCs w:val="24"/>
                <w:lang w:val="en-US" w:eastAsia="zh-CN" w:bidi="ar-SA"/>
              </w:rPr>
            </w:pPr>
            <w:r>
              <w:rPr>
                <w:rFonts w:hint="eastAsia" w:ascii="仿宋_GB2312" w:hAnsi="仿宋" w:eastAsia="仿宋_GB2312"/>
                <w:sz w:val="24"/>
              </w:rPr>
              <w:t>9</w:t>
            </w:r>
          </w:p>
        </w:tc>
        <w:tc>
          <w:tcPr>
            <w:tcW w:w="2401" w:type="dxa"/>
            <w:vAlign w:val="center"/>
          </w:tcPr>
          <w:p w14:paraId="1EA97F29">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信息技术</w:t>
            </w:r>
          </w:p>
        </w:tc>
        <w:tc>
          <w:tcPr>
            <w:tcW w:w="5900" w:type="dxa"/>
            <w:vAlign w:val="center"/>
          </w:tcPr>
          <w:p w14:paraId="43F28299">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依据《中等职业学校信息技术课程标准》开设，并注重在职业模块的教学内容中体现专业特色</w:t>
            </w:r>
          </w:p>
        </w:tc>
        <w:tc>
          <w:tcPr>
            <w:tcW w:w="708" w:type="dxa"/>
            <w:vAlign w:val="center"/>
          </w:tcPr>
          <w:p w14:paraId="039A5222">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108</w:t>
            </w:r>
          </w:p>
        </w:tc>
      </w:tr>
      <w:tr w14:paraId="5435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249" w:hRule="atLeast"/>
          <w:jc w:val="center"/>
        </w:trPr>
        <w:tc>
          <w:tcPr>
            <w:tcW w:w="704" w:type="dxa"/>
            <w:shd w:val="clear" w:color="auto" w:fill="auto"/>
            <w:vAlign w:val="center"/>
          </w:tcPr>
          <w:p w14:paraId="6F55BF01">
            <w:pPr>
              <w:tabs>
                <w:tab w:val="left" w:pos="250"/>
              </w:tabs>
              <w:kinsoku w:val="0"/>
              <w:overflowPunct w:val="0"/>
              <w:autoSpaceDE w:val="0"/>
              <w:autoSpaceDN w:val="0"/>
              <w:spacing w:line="276" w:lineRule="auto"/>
              <w:jc w:val="center"/>
              <w:rPr>
                <w:rFonts w:ascii="仿宋_GB2312" w:hAnsi="仿宋" w:eastAsia="仿宋_GB2312" w:cs="Times New Roman"/>
                <w:kern w:val="2"/>
                <w:sz w:val="24"/>
                <w:szCs w:val="24"/>
                <w:lang w:val="en-US" w:eastAsia="zh-CN" w:bidi="ar-SA"/>
              </w:rPr>
            </w:pPr>
            <w:r>
              <w:rPr>
                <w:rFonts w:hint="eastAsia" w:ascii="仿宋_GB2312" w:hAnsi="仿宋" w:eastAsia="仿宋_GB2312"/>
                <w:sz w:val="24"/>
              </w:rPr>
              <w:t>10</w:t>
            </w:r>
          </w:p>
        </w:tc>
        <w:tc>
          <w:tcPr>
            <w:tcW w:w="2401" w:type="dxa"/>
            <w:vAlign w:val="center"/>
          </w:tcPr>
          <w:p w14:paraId="657838F4">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体育与健康</w:t>
            </w:r>
          </w:p>
        </w:tc>
        <w:tc>
          <w:tcPr>
            <w:tcW w:w="5900" w:type="dxa"/>
            <w:vAlign w:val="center"/>
          </w:tcPr>
          <w:p w14:paraId="48D45621">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依据《中等职业学校体育与健康课程标准》开设，并与专业实际和行业发展密切结合</w:t>
            </w:r>
          </w:p>
        </w:tc>
        <w:tc>
          <w:tcPr>
            <w:tcW w:w="708" w:type="dxa"/>
            <w:vAlign w:val="center"/>
          </w:tcPr>
          <w:p w14:paraId="4A1BFAFA">
            <w:pPr>
              <w:tabs>
                <w:tab w:val="left" w:pos="250"/>
              </w:tabs>
              <w:kinsoku w:val="0"/>
              <w:overflowPunct w:val="0"/>
              <w:autoSpaceDE w:val="0"/>
              <w:autoSpaceDN w:val="0"/>
              <w:snapToGrid/>
              <w:spacing w:line="276" w:lineRule="auto"/>
              <w:ind w:firstLine="0" w:firstLineChars="0"/>
              <w:jc w:val="center"/>
              <w:rPr>
                <w:rFonts w:hint="default" w:ascii="仿宋_GB2312" w:hAnsi="仿宋" w:eastAsia="仿宋_GB2312"/>
                <w:sz w:val="24"/>
                <w:lang w:val="en-US"/>
              </w:rPr>
            </w:pPr>
            <w:r>
              <w:rPr>
                <w:rFonts w:hint="eastAsia" w:ascii="仿宋" w:hAnsi="仿宋" w:eastAsia="仿宋"/>
                <w:sz w:val="24"/>
                <w:szCs w:val="24"/>
                <w:lang w:val="en-US" w:eastAsia="zh-CN"/>
              </w:rPr>
              <w:t>144</w:t>
            </w:r>
          </w:p>
        </w:tc>
      </w:tr>
      <w:tr w14:paraId="209B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jc w:val="center"/>
        </w:trPr>
        <w:tc>
          <w:tcPr>
            <w:tcW w:w="704" w:type="dxa"/>
            <w:shd w:val="clear" w:color="auto" w:fill="auto"/>
            <w:vAlign w:val="center"/>
          </w:tcPr>
          <w:p w14:paraId="2EFDF480">
            <w:pPr>
              <w:tabs>
                <w:tab w:val="left" w:pos="250"/>
              </w:tabs>
              <w:kinsoku w:val="0"/>
              <w:overflowPunct w:val="0"/>
              <w:autoSpaceDE w:val="0"/>
              <w:autoSpaceDN w:val="0"/>
              <w:spacing w:line="276" w:lineRule="auto"/>
              <w:jc w:val="center"/>
              <w:rPr>
                <w:rFonts w:ascii="仿宋_GB2312" w:hAnsi="仿宋" w:eastAsia="仿宋_GB2312" w:cs="Times New Roman"/>
                <w:kern w:val="2"/>
                <w:sz w:val="24"/>
                <w:szCs w:val="24"/>
                <w:lang w:val="en-US" w:eastAsia="zh-CN" w:bidi="ar-SA"/>
              </w:rPr>
            </w:pPr>
            <w:r>
              <w:rPr>
                <w:rFonts w:hint="eastAsia" w:ascii="仿宋_GB2312" w:hAnsi="仿宋" w:eastAsia="仿宋_GB2312"/>
                <w:sz w:val="24"/>
              </w:rPr>
              <w:t>11</w:t>
            </w:r>
          </w:p>
        </w:tc>
        <w:tc>
          <w:tcPr>
            <w:tcW w:w="2401" w:type="dxa"/>
            <w:vAlign w:val="center"/>
          </w:tcPr>
          <w:p w14:paraId="54229C2C">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公共艺术</w:t>
            </w:r>
          </w:p>
        </w:tc>
        <w:tc>
          <w:tcPr>
            <w:tcW w:w="5900" w:type="dxa"/>
            <w:vAlign w:val="center"/>
          </w:tcPr>
          <w:p w14:paraId="17E11F46">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依据《中等职业学校公共艺术课程标准》开设，并与专业实际和行业发展密切结合</w:t>
            </w:r>
          </w:p>
        </w:tc>
        <w:tc>
          <w:tcPr>
            <w:tcW w:w="708" w:type="dxa"/>
            <w:vAlign w:val="center"/>
          </w:tcPr>
          <w:p w14:paraId="7D4CA557">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36</w:t>
            </w:r>
          </w:p>
        </w:tc>
      </w:tr>
      <w:tr w14:paraId="1224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69" w:hRule="atLeast"/>
          <w:jc w:val="center"/>
        </w:trPr>
        <w:tc>
          <w:tcPr>
            <w:tcW w:w="704" w:type="dxa"/>
            <w:shd w:val="clear" w:color="auto" w:fill="auto"/>
            <w:vAlign w:val="center"/>
          </w:tcPr>
          <w:p w14:paraId="02814F20">
            <w:pPr>
              <w:tabs>
                <w:tab w:val="left" w:pos="250"/>
              </w:tabs>
              <w:kinsoku w:val="0"/>
              <w:overflowPunct w:val="0"/>
              <w:autoSpaceDE w:val="0"/>
              <w:autoSpaceDN w:val="0"/>
              <w:spacing w:line="276" w:lineRule="auto"/>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1</w:t>
            </w:r>
            <w:r>
              <w:rPr>
                <w:rFonts w:hint="eastAsia" w:ascii="仿宋_GB2312" w:hAnsi="仿宋" w:eastAsia="仿宋_GB2312"/>
                <w:sz w:val="24"/>
                <w:lang w:val="en-US" w:eastAsia="zh-CN"/>
              </w:rPr>
              <w:t>2</w:t>
            </w:r>
          </w:p>
        </w:tc>
        <w:tc>
          <w:tcPr>
            <w:tcW w:w="2401" w:type="dxa"/>
            <w:vAlign w:val="center"/>
          </w:tcPr>
          <w:p w14:paraId="536910F7">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rPr>
              <w:t>历史</w:t>
            </w:r>
          </w:p>
        </w:tc>
        <w:tc>
          <w:tcPr>
            <w:tcW w:w="5900" w:type="dxa"/>
            <w:vAlign w:val="center"/>
          </w:tcPr>
          <w:p w14:paraId="3B05414F">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依据《中等职业学校历史课程标准》开设，并与专业实际和行业发展密切结合</w:t>
            </w:r>
          </w:p>
        </w:tc>
        <w:tc>
          <w:tcPr>
            <w:tcW w:w="708" w:type="dxa"/>
            <w:vAlign w:val="center"/>
          </w:tcPr>
          <w:p w14:paraId="6B0FB0D4">
            <w:pPr>
              <w:tabs>
                <w:tab w:val="left" w:pos="250"/>
              </w:tabs>
              <w:kinsoku w:val="0"/>
              <w:overflowPunct w:val="0"/>
              <w:autoSpaceDE w:val="0"/>
              <w:autoSpaceDN w:val="0"/>
              <w:snapToGrid/>
              <w:spacing w:line="276" w:lineRule="auto"/>
              <w:ind w:firstLine="0" w:firstLineChars="0"/>
              <w:jc w:val="center"/>
              <w:rPr>
                <w:rFonts w:ascii="仿宋_GB2312" w:hAnsi="仿宋" w:eastAsia="仿宋_GB2312"/>
                <w:sz w:val="24"/>
              </w:rPr>
            </w:pPr>
            <w:r>
              <w:rPr>
                <w:rFonts w:hint="eastAsia" w:ascii="仿宋" w:hAnsi="仿宋" w:eastAsia="仿宋"/>
                <w:sz w:val="24"/>
                <w:szCs w:val="24"/>
                <w:lang w:val="en-US" w:eastAsia="zh-CN"/>
              </w:rPr>
              <w:t>72</w:t>
            </w:r>
          </w:p>
        </w:tc>
      </w:tr>
      <w:tr w14:paraId="0F0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207" w:hRule="atLeast"/>
          <w:jc w:val="center"/>
        </w:trPr>
        <w:tc>
          <w:tcPr>
            <w:tcW w:w="704" w:type="dxa"/>
            <w:vAlign w:val="center"/>
          </w:tcPr>
          <w:p w14:paraId="0FF42857">
            <w:pPr>
              <w:tabs>
                <w:tab w:val="left" w:pos="250"/>
              </w:tabs>
              <w:kinsoku w:val="0"/>
              <w:overflowPunct w:val="0"/>
              <w:autoSpaceDE w:val="0"/>
              <w:autoSpaceDN w:val="0"/>
              <w:spacing w:line="276" w:lineRule="auto"/>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13</w:t>
            </w:r>
          </w:p>
        </w:tc>
        <w:tc>
          <w:tcPr>
            <w:tcW w:w="2401" w:type="dxa"/>
            <w:vAlign w:val="center"/>
          </w:tcPr>
          <w:p w14:paraId="024C9191">
            <w:pPr>
              <w:tabs>
                <w:tab w:val="left" w:pos="250"/>
              </w:tabs>
              <w:kinsoku w:val="0"/>
              <w:overflowPunct w:val="0"/>
              <w:autoSpaceDE w:val="0"/>
              <w:autoSpaceDN w:val="0"/>
              <w:spacing w:line="276" w:lineRule="auto"/>
              <w:jc w:val="center"/>
              <w:rPr>
                <w:rFonts w:ascii="仿宋_GB2312" w:hAnsi="仿宋" w:eastAsia="仿宋_GB2312"/>
                <w:b/>
                <w:sz w:val="24"/>
              </w:rPr>
            </w:pPr>
            <w:r>
              <w:rPr>
                <w:rFonts w:hint="eastAsia" w:ascii="仿宋" w:hAnsi="仿宋" w:eastAsia="仿宋" w:cs="宋体"/>
                <w:b w:val="0"/>
                <w:bCs/>
                <w:color w:val="000000"/>
                <w:kern w:val="0"/>
                <w:sz w:val="24"/>
              </w:rPr>
              <w:t>劳动教育、安全教育、心理健康教育</w:t>
            </w:r>
          </w:p>
        </w:tc>
        <w:tc>
          <w:tcPr>
            <w:tcW w:w="5900" w:type="dxa"/>
            <w:vAlign w:val="center"/>
          </w:tcPr>
          <w:p w14:paraId="6D7E6990">
            <w:pPr>
              <w:tabs>
                <w:tab w:val="left" w:pos="250"/>
              </w:tabs>
              <w:kinsoku w:val="0"/>
              <w:overflowPunct w:val="0"/>
              <w:autoSpaceDE w:val="0"/>
              <w:autoSpaceDN w:val="0"/>
              <w:spacing w:line="276" w:lineRule="auto"/>
              <w:rPr>
                <w:rFonts w:ascii="仿宋_GB2312" w:hAnsi="仿宋" w:eastAsia="仿宋_GB2312"/>
                <w:sz w:val="24"/>
              </w:rPr>
            </w:pPr>
            <w:r>
              <w:rPr>
                <w:rFonts w:hint="eastAsia" w:ascii="仿宋_GB2312" w:hAnsi="仿宋" w:eastAsia="仿宋_GB2312"/>
                <w:sz w:val="24"/>
              </w:rPr>
              <w:t>依据《教育部办公厅关于印发，&lt;中等职业学校公共基础课程方案&gt;的通知》开设，并注重在职业模块的教学内容中体现专业特色</w:t>
            </w:r>
          </w:p>
        </w:tc>
        <w:tc>
          <w:tcPr>
            <w:tcW w:w="708" w:type="dxa"/>
            <w:vAlign w:val="center"/>
          </w:tcPr>
          <w:p w14:paraId="7D27721B">
            <w:pPr>
              <w:tabs>
                <w:tab w:val="left" w:pos="250"/>
              </w:tabs>
              <w:kinsoku w:val="0"/>
              <w:overflowPunct w:val="0"/>
              <w:autoSpaceDE w:val="0"/>
              <w:autoSpaceDN w:val="0"/>
              <w:spacing w:line="276" w:lineRule="auto"/>
              <w:jc w:val="center"/>
              <w:rPr>
                <w:rFonts w:ascii="仿宋_GB2312" w:hAnsi="仿宋" w:eastAsia="仿宋_GB2312"/>
                <w:sz w:val="24"/>
              </w:rPr>
            </w:pPr>
            <w:r>
              <w:rPr>
                <w:rFonts w:hint="eastAsia" w:ascii="仿宋_GB2312" w:hAnsi="仿宋" w:eastAsia="仿宋_GB2312"/>
                <w:sz w:val="24"/>
                <w:lang w:val="en-US" w:eastAsia="zh-CN"/>
              </w:rPr>
              <w:t>3</w:t>
            </w:r>
            <w:r>
              <w:rPr>
                <w:rFonts w:hint="eastAsia" w:ascii="仿宋_GB2312" w:hAnsi="仿宋" w:eastAsia="仿宋_GB2312"/>
                <w:sz w:val="24"/>
              </w:rPr>
              <w:t>0</w:t>
            </w:r>
          </w:p>
        </w:tc>
      </w:tr>
    </w:tbl>
    <w:p w14:paraId="3E23C8C6">
      <w:pPr>
        <w:spacing w:line="360" w:lineRule="auto"/>
        <w:ind w:firstLine="643" w:firstLineChars="200"/>
        <w:outlineLvl w:val="0"/>
        <w:rPr>
          <w:rFonts w:ascii="仿宋_GB2312" w:hAnsi="华文仿宋" w:eastAsia="仿宋_GB2312"/>
          <w:b/>
          <w:bCs/>
          <w:color w:val="auto"/>
          <w:sz w:val="32"/>
          <w:szCs w:val="32"/>
        </w:rPr>
      </w:pPr>
      <w:r>
        <w:rPr>
          <w:rFonts w:hint="eastAsia" w:ascii="仿宋_GB2312" w:hAnsi="华文仿宋" w:eastAsia="仿宋_GB2312"/>
          <w:b/>
          <w:bCs/>
          <w:color w:val="auto"/>
          <w:sz w:val="32"/>
          <w:szCs w:val="32"/>
        </w:rPr>
        <w:t>㈡专业（技能）课程</w:t>
      </w:r>
    </w:p>
    <w:p w14:paraId="4110D39F">
      <w:pPr>
        <w:spacing w:line="360" w:lineRule="auto"/>
        <w:ind w:firstLine="643" w:firstLineChars="200"/>
        <w:outlineLvl w:val="0"/>
        <w:rPr>
          <w:rFonts w:hint="eastAsia" w:ascii="仿宋_GB2312" w:hAnsi="宋体" w:eastAsia="仿宋_GB2312" w:cs="宋体"/>
          <w:b/>
          <w:bCs/>
          <w:color w:val="auto"/>
          <w:sz w:val="32"/>
          <w:szCs w:val="32"/>
          <w:lang w:val="en-US" w:eastAsia="zh-CN"/>
        </w:rPr>
      </w:pPr>
      <w:r>
        <w:rPr>
          <w:rFonts w:hint="eastAsia" w:ascii="仿宋_GB2312" w:hAnsi="宋体" w:eastAsia="仿宋_GB2312" w:cs="宋体"/>
          <w:b/>
          <w:bCs/>
          <w:color w:val="auto"/>
          <w:sz w:val="32"/>
          <w:szCs w:val="32"/>
        </w:rPr>
        <w:t>1.</w:t>
      </w:r>
      <w:r>
        <w:rPr>
          <w:rFonts w:hint="eastAsia" w:ascii="仿宋_GB2312" w:hAnsi="宋体" w:eastAsia="仿宋_GB2312" w:cs="宋体"/>
          <w:b/>
          <w:bCs/>
          <w:color w:val="auto"/>
          <w:sz w:val="32"/>
          <w:szCs w:val="32"/>
          <w:lang w:val="en-US" w:eastAsia="zh-CN"/>
        </w:rPr>
        <w:t>专业基础课</w:t>
      </w:r>
    </w:p>
    <w:tbl>
      <w:tblPr>
        <w:tblStyle w:val="6"/>
        <w:tblW w:w="975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26"/>
        <w:gridCol w:w="6096"/>
        <w:gridCol w:w="779"/>
      </w:tblGrid>
      <w:tr w14:paraId="4649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673AA9B">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序号</w:t>
            </w:r>
          </w:p>
        </w:tc>
        <w:tc>
          <w:tcPr>
            <w:tcW w:w="2126" w:type="dxa"/>
            <w:vAlign w:val="center"/>
          </w:tcPr>
          <w:p w14:paraId="62CCCA35">
            <w:pPr>
              <w:jc w:val="center"/>
              <w:rPr>
                <w:rFonts w:ascii="仿宋_GB2312" w:hAnsi="仿宋" w:eastAsia="仿宋_GB2312" w:cs="仿宋"/>
                <w:color w:val="auto"/>
                <w:sz w:val="24"/>
              </w:rPr>
            </w:pPr>
            <w:r>
              <w:rPr>
                <w:rFonts w:hint="eastAsia" w:ascii="仿宋_GB2312" w:hAnsi="仿宋" w:eastAsia="仿宋_GB2312" w:cs="仿宋"/>
                <w:b/>
                <w:bCs/>
                <w:color w:val="auto"/>
                <w:sz w:val="24"/>
              </w:rPr>
              <w:t>课程名称</w:t>
            </w:r>
          </w:p>
        </w:tc>
        <w:tc>
          <w:tcPr>
            <w:tcW w:w="6096" w:type="dxa"/>
            <w:vAlign w:val="center"/>
          </w:tcPr>
          <w:p w14:paraId="6790D1FE">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主要教学内容和要求</w:t>
            </w:r>
          </w:p>
        </w:tc>
        <w:tc>
          <w:tcPr>
            <w:tcW w:w="779" w:type="dxa"/>
            <w:vAlign w:val="center"/>
          </w:tcPr>
          <w:p w14:paraId="40065C07">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学时</w:t>
            </w:r>
          </w:p>
        </w:tc>
      </w:tr>
      <w:tr w14:paraId="708A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906A15F">
            <w:pPr>
              <w:jc w:val="center"/>
              <w:rPr>
                <w:rFonts w:hint="default" w:ascii="仿宋_GB2312" w:hAnsi="仿宋" w:eastAsia="仿宋_GB2312" w:cs="仿宋"/>
                <w:b/>
                <w:bCs/>
                <w:color w:val="auto"/>
                <w:sz w:val="24"/>
                <w:lang w:val="en-US" w:eastAsia="zh-CN"/>
              </w:rPr>
            </w:pPr>
            <w:r>
              <w:rPr>
                <w:rFonts w:hint="eastAsia" w:ascii="仿宋_GB2312" w:hAnsi="仿宋" w:eastAsia="仿宋_GB2312" w:cs="仿宋"/>
                <w:b/>
                <w:bCs/>
                <w:color w:val="auto"/>
                <w:sz w:val="24"/>
                <w:lang w:val="en-US" w:eastAsia="zh-CN"/>
              </w:rPr>
              <w:t>1</w:t>
            </w:r>
          </w:p>
        </w:tc>
        <w:tc>
          <w:tcPr>
            <w:tcW w:w="2126" w:type="dxa"/>
            <w:shd w:val="clear" w:color="auto" w:fill="auto"/>
            <w:vAlign w:val="center"/>
          </w:tcPr>
          <w:p w14:paraId="3E86C274">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社会体育指导员</w:t>
            </w:r>
          </w:p>
        </w:tc>
        <w:tc>
          <w:tcPr>
            <w:tcW w:w="6096" w:type="dxa"/>
            <w:shd w:val="clear" w:color="auto" w:fill="auto"/>
            <w:vAlign w:val="center"/>
          </w:tcPr>
          <w:p w14:paraId="704B3D13">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在竞技体育、学校体育、部队体育以外的群众性体育活动中从事技能传授、锻炼指导和组织管理工作。</w:t>
            </w:r>
          </w:p>
        </w:tc>
        <w:tc>
          <w:tcPr>
            <w:tcW w:w="779" w:type="dxa"/>
            <w:vAlign w:val="center"/>
          </w:tcPr>
          <w:p w14:paraId="6C848B58">
            <w:pPr>
              <w:jc w:val="center"/>
              <w:rPr>
                <w:rFonts w:hint="default" w:ascii="仿宋_GB2312" w:hAnsi="仿宋" w:eastAsia="仿宋_GB2312" w:cs="仿宋"/>
                <w:b/>
                <w:bCs/>
                <w:color w:val="auto"/>
                <w:sz w:val="24"/>
                <w:lang w:val="en-US" w:eastAsia="zh-CN"/>
              </w:rPr>
            </w:pPr>
            <w:r>
              <w:rPr>
                <w:rFonts w:hint="eastAsia" w:ascii="仿宋_GB2312" w:hAnsi="仿宋" w:eastAsia="仿宋_GB2312" w:cs="仿宋"/>
                <w:b/>
                <w:bCs/>
                <w:color w:val="auto"/>
                <w:sz w:val="24"/>
                <w:lang w:val="en-US" w:eastAsia="zh-CN"/>
              </w:rPr>
              <w:t>60</w:t>
            </w:r>
          </w:p>
        </w:tc>
      </w:tr>
      <w:tr w14:paraId="5CFE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DAD407A">
            <w:pPr>
              <w:jc w:val="center"/>
              <w:rPr>
                <w:rFonts w:hint="default" w:ascii="仿宋_GB2312" w:hAnsi="仿宋" w:eastAsia="仿宋_GB2312" w:cs="仿宋"/>
                <w:b/>
                <w:bCs/>
                <w:color w:val="auto"/>
                <w:sz w:val="24"/>
                <w:lang w:val="en-US" w:eastAsia="zh-CN"/>
              </w:rPr>
            </w:pPr>
            <w:r>
              <w:rPr>
                <w:rFonts w:hint="eastAsia" w:ascii="仿宋_GB2312" w:hAnsi="仿宋" w:eastAsia="仿宋_GB2312" w:cs="仿宋"/>
                <w:b/>
                <w:bCs/>
                <w:color w:val="auto"/>
                <w:sz w:val="24"/>
                <w:lang w:val="en-US" w:eastAsia="zh-CN"/>
              </w:rPr>
              <w:t>2</w:t>
            </w:r>
          </w:p>
        </w:tc>
        <w:tc>
          <w:tcPr>
            <w:tcW w:w="2126" w:type="dxa"/>
            <w:shd w:val="clear" w:color="auto" w:fill="auto"/>
            <w:vAlign w:val="center"/>
          </w:tcPr>
          <w:p w14:paraId="5EF63077">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体育社会学</w:t>
            </w:r>
          </w:p>
        </w:tc>
        <w:tc>
          <w:tcPr>
            <w:tcW w:w="6096" w:type="dxa"/>
            <w:shd w:val="clear" w:color="auto" w:fill="auto"/>
            <w:vAlign w:val="center"/>
          </w:tcPr>
          <w:p w14:paraId="2C066587">
            <w:pPr>
              <w:widowControl/>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运用社会学的理论、观点研究体育运动中的体育与社会、体育与人、体育与文化的关系及它们对社会的影响，促进体育运动健康发展。</w:t>
            </w:r>
          </w:p>
        </w:tc>
        <w:tc>
          <w:tcPr>
            <w:tcW w:w="779" w:type="dxa"/>
            <w:vAlign w:val="center"/>
          </w:tcPr>
          <w:p w14:paraId="30358978">
            <w:pPr>
              <w:jc w:val="center"/>
              <w:rPr>
                <w:rFonts w:hint="default" w:ascii="仿宋_GB2312" w:hAnsi="仿宋" w:eastAsia="仿宋_GB2312" w:cs="仿宋"/>
                <w:b/>
                <w:bCs/>
                <w:color w:val="auto"/>
                <w:sz w:val="24"/>
                <w:lang w:val="en-US" w:eastAsia="zh-CN"/>
              </w:rPr>
            </w:pPr>
            <w:r>
              <w:rPr>
                <w:rFonts w:hint="eastAsia" w:ascii="仿宋_GB2312" w:hAnsi="仿宋" w:eastAsia="仿宋_GB2312" w:cs="仿宋"/>
                <w:b/>
                <w:bCs/>
                <w:color w:val="auto"/>
                <w:sz w:val="24"/>
                <w:lang w:val="en-US" w:eastAsia="zh-CN"/>
              </w:rPr>
              <w:t>60</w:t>
            </w:r>
          </w:p>
        </w:tc>
      </w:tr>
    </w:tbl>
    <w:p w14:paraId="6BAD8330">
      <w:pPr>
        <w:spacing w:line="360" w:lineRule="auto"/>
        <w:ind w:firstLine="643" w:firstLineChars="200"/>
        <w:outlineLvl w:val="0"/>
        <w:rPr>
          <w:rFonts w:ascii="仿宋_GB2312" w:hAnsi="宋体" w:eastAsia="仿宋_GB2312" w:cs="宋体"/>
          <w:b/>
          <w:bCs/>
          <w:color w:val="auto"/>
          <w:sz w:val="32"/>
          <w:szCs w:val="32"/>
        </w:rPr>
      </w:pPr>
      <w:r>
        <w:rPr>
          <w:rFonts w:hint="eastAsia" w:ascii="仿宋_GB2312" w:hAnsi="宋体" w:eastAsia="仿宋_GB2312" w:cs="宋体"/>
          <w:b/>
          <w:bCs/>
          <w:color w:val="auto"/>
          <w:sz w:val="32"/>
          <w:szCs w:val="32"/>
          <w:lang w:val="en-US" w:eastAsia="zh-CN"/>
        </w:rPr>
        <w:t>2.</w:t>
      </w:r>
      <w:r>
        <w:rPr>
          <w:rFonts w:hint="eastAsia" w:ascii="仿宋_GB2312" w:hAnsi="宋体" w:eastAsia="仿宋_GB2312" w:cs="宋体"/>
          <w:b/>
          <w:bCs/>
          <w:color w:val="auto"/>
          <w:sz w:val="32"/>
          <w:szCs w:val="32"/>
        </w:rPr>
        <w:t>专业核心课</w:t>
      </w:r>
    </w:p>
    <w:tbl>
      <w:tblPr>
        <w:tblStyle w:val="6"/>
        <w:tblW w:w="976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26"/>
        <w:gridCol w:w="6096"/>
        <w:gridCol w:w="794"/>
      </w:tblGrid>
      <w:tr w14:paraId="11F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3959797">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序号</w:t>
            </w:r>
          </w:p>
        </w:tc>
        <w:tc>
          <w:tcPr>
            <w:tcW w:w="2126" w:type="dxa"/>
            <w:vAlign w:val="center"/>
          </w:tcPr>
          <w:p w14:paraId="11A9D36B">
            <w:pPr>
              <w:jc w:val="center"/>
              <w:rPr>
                <w:rFonts w:ascii="仿宋_GB2312" w:hAnsi="仿宋" w:eastAsia="仿宋_GB2312" w:cs="仿宋"/>
                <w:color w:val="auto"/>
                <w:sz w:val="24"/>
              </w:rPr>
            </w:pPr>
            <w:r>
              <w:rPr>
                <w:rFonts w:hint="eastAsia" w:ascii="仿宋_GB2312" w:hAnsi="仿宋" w:eastAsia="仿宋_GB2312" w:cs="仿宋"/>
                <w:b/>
                <w:bCs/>
                <w:color w:val="auto"/>
                <w:sz w:val="24"/>
              </w:rPr>
              <w:t>课程名称</w:t>
            </w:r>
          </w:p>
        </w:tc>
        <w:tc>
          <w:tcPr>
            <w:tcW w:w="6096" w:type="dxa"/>
            <w:vAlign w:val="center"/>
          </w:tcPr>
          <w:p w14:paraId="60A2511F">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主要教学内容和要求</w:t>
            </w:r>
          </w:p>
        </w:tc>
        <w:tc>
          <w:tcPr>
            <w:tcW w:w="794" w:type="dxa"/>
            <w:vAlign w:val="center"/>
          </w:tcPr>
          <w:p w14:paraId="44CD8684">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学时</w:t>
            </w:r>
          </w:p>
        </w:tc>
      </w:tr>
      <w:tr w14:paraId="1A1C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B5EE4D6">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2126" w:type="dxa"/>
            <w:shd w:val="clear" w:color="auto" w:fill="auto"/>
            <w:vAlign w:val="center"/>
          </w:tcPr>
          <w:p w14:paraId="643AF96E">
            <w:pPr>
              <w:widowControl/>
              <w:spacing w:line="288" w:lineRule="auto"/>
              <w:rPr>
                <w:rFonts w:hint="eastAsia" w:ascii="仿宋_GB2312" w:hAnsi="仿宋" w:eastAsia="仿宋_GB2312" w:cs="仿宋"/>
                <w:b/>
                <w:bCs/>
                <w:color w:val="auto"/>
                <w:kern w:val="2"/>
                <w:sz w:val="24"/>
                <w:szCs w:val="24"/>
                <w:lang w:val="en-US" w:eastAsia="zh-CN" w:bidi="ar-SA"/>
              </w:rPr>
            </w:pPr>
            <w:r>
              <w:rPr>
                <w:rFonts w:hint="eastAsia" w:ascii="仿宋_GB2312" w:hAnsi="宋体" w:eastAsia="仿宋_GB2312"/>
                <w:color w:val="auto"/>
                <w:sz w:val="24"/>
              </w:rPr>
              <w:t>运动人体科学概论</w:t>
            </w:r>
          </w:p>
        </w:tc>
        <w:tc>
          <w:tcPr>
            <w:tcW w:w="6096" w:type="dxa"/>
            <w:shd w:val="clear" w:color="auto" w:fill="auto"/>
            <w:vAlign w:val="center"/>
          </w:tcPr>
          <w:p w14:paraId="0D2C80B3">
            <w:pPr>
              <w:widowControl/>
              <w:rPr>
                <w:rFonts w:hint="eastAsia" w:ascii="仿宋_GB2312" w:hAnsi="仿宋" w:eastAsia="仿宋_GB2312" w:cs="仿宋"/>
                <w:b/>
                <w:bCs/>
                <w:color w:val="auto"/>
                <w:kern w:val="2"/>
                <w:sz w:val="24"/>
                <w:szCs w:val="24"/>
                <w:lang w:val="en-US" w:eastAsia="zh-CN" w:bidi="ar-SA"/>
              </w:rPr>
            </w:pPr>
            <w:r>
              <w:rPr>
                <w:rFonts w:hint="eastAsia" w:ascii="仿宋_GB2312" w:hAnsi="宋体" w:eastAsia="仿宋_GB2312"/>
                <w:color w:val="auto"/>
                <w:sz w:val="24"/>
              </w:rPr>
              <w:t>建设以“训学结合、以训为主、协调发展、服务社会“为指导，以运动实践依据，结合人体解剖学、人体生理学、体育保健学和营养学，将知识点融入到运动训练的实践中，为运动训练专业培养体育职业的技能型、应用型人才服务。</w:t>
            </w:r>
          </w:p>
        </w:tc>
        <w:tc>
          <w:tcPr>
            <w:tcW w:w="794" w:type="dxa"/>
            <w:shd w:val="clear" w:color="auto" w:fill="auto"/>
            <w:vAlign w:val="center"/>
          </w:tcPr>
          <w:p w14:paraId="4B3A763B">
            <w:pPr>
              <w:jc w:val="center"/>
              <w:rPr>
                <w:rFonts w:hint="default" w:ascii="仿宋_GB2312" w:hAnsi="仿宋" w:eastAsia="仿宋_GB2312" w:cs="仿宋"/>
                <w:b/>
                <w:bCs/>
                <w:color w:val="auto"/>
                <w:kern w:val="2"/>
                <w:sz w:val="24"/>
                <w:szCs w:val="24"/>
                <w:lang w:val="en-US" w:eastAsia="zh-CN" w:bidi="ar-SA"/>
              </w:rPr>
            </w:pPr>
            <w:r>
              <w:rPr>
                <w:rFonts w:hint="eastAsia" w:ascii="仿宋_GB2312" w:hAnsi="仿宋" w:eastAsia="仿宋_GB2312" w:cs="仿宋"/>
                <w:b/>
                <w:bCs/>
                <w:color w:val="auto"/>
                <w:sz w:val="24"/>
                <w:lang w:val="en-US" w:eastAsia="zh-CN"/>
              </w:rPr>
              <w:t>80</w:t>
            </w:r>
          </w:p>
        </w:tc>
      </w:tr>
      <w:tr w14:paraId="010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BA68E5E">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2</w:t>
            </w:r>
          </w:p>
        </w:tc>
        <w:tc>
          <w:tcPr>
            <w:tcW w:w="2126" w:type="dxa"/>
            <w:vAlign w:val="center"/>
          </w:tcPr>
          <w:p w14:paraId="534B3F80">
            <w:pPr>
              <w:widowControl/>
              <w:spacing w:line="288" w:lineRule="auto"/>
              <w:rPr>
                <w:rFonts w:ascii="仿宋_GB2312" w:hAnsi="宋体" w:eastAsia="仿宋_GB2312"/>
                <w:color w:val="auto"/>
                <w:sz w:val="24"/>
              </w:rPr>
            </w:pPr>
            <w:r>
              <w:rPr>
                <w:rFonts w:hint="eastAsia" w:ascii="仿宋_GB2312" w:hAnsi="宋体" w:eastAsia="仿宋_GB2312"/>
                <w:color w:val="auto"/>
                <w:sz w:val="24"/>
              </w:rPr>
              <w:t>运动心理学基础</w:t>
            </w:r>
          </w:p>
        </w:tc>
        <w:tc>
          <w:tcPr>
            <w:tcW w:w="6096" w:type="dxa"/>
            <w:vAlign w:val="center"/>
          </w:tcPr>
          <w:p w14:paraId="7C096527">
            <w:pPr>
              <w:widowControl/>
              <w:rPr>
                <w:rFonts w:ascii="仿宋_GB2312" w:hAnsi="宋体" w:eastAsia="仿宋_GB2312"/>
                <w:color w:val="auto"/>
                <w:sz w:val="24"/>
              </w:rPr>
            </w:pPr>
            <w:r>
              <w:rPr>
                <w:rFonts w:hint="eastAsia" w:ascii="仿宋_GB2312" w:hAnsi="宋体" w:eastAsia="仿宋_GB2312"/>
                <w:color w:val="auto"/>
                <w:sz w:val="24"/>
              </w:rPr>
              <w:t>在具备普通心理学知识的基础上，通过本课程的学习能较全面系统地掌握运动心理学的基本理论、基本知识和基本方法。并具有运用这种理论和方法从事体育教学、课余体育训练和运动心理学研究工作的能力。</w:t>
            </w:r>
          </w:p>
        </w:tc>
        <w:tc>
          <w:tcPr>
            <w:tcW w:w="794" w:type="dxa"/>
            <w:vAlign w:val="center"/>
          </w:tcPr>
          <w:p w14:paraId="7ADB3829">
            <w:pPr>
              <w:pStyle w:val="12"/>
              <w:spacing w:line="360" w:lineRule="auto"/>
              <w:ind w:firstLine="0" w:firstLineChars="0"/>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160</w:t>
            </w:r>
          </w:p>
        </w:tc>
      </w:tr>
      <w:tr w14:paraId="17E4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42315F3">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3</w:t>
            </w:r>
          </w:p>
        </w:tc>
        <w:tc>
          <w:tcPr>
            <w:tcW w:w="2126" w:type="dxa"/>
            <w:vAlign w:val="center"/>
          </w:tcPr>
          <w:p w14:paraId="14D4551D">
            <w:pPr>
              <w:widowControl/>
              <w:spacing w:line="288" w:lineRule="auto"/>
              <w:rPr>
                <w:rFonts w:ascii="仿宋_GB2312" w:hAnsi="宋体" w:eastAsia="仿宋_GB2312"/>
                <w:color w:val="auto"/>
                <w:sz w:val="24"/>
              </w:rPr>
            </w:pPr>
            <w:r>
              <w:rPr>
                <w:rFonts w:hint="eastAsia" w:ascii="仿宋_GB2312" w:hAnsi="宋体" w:eastAsia="仿宋_GB2312"/>
                <w:color w:val="auto"/>
                <w:sz w:val="24"/>
              </w:rPr>
              <w:t>运动训练学</w:t>
            </w:r>
          </w:p>
        </w:tc>
        <w:tc>
          <w:tcPr>
            <w:tcW w:w="6096" w:type="dxa"/>
            <w:vAlign w:val="center"/>
          </w:tcPr>
          <w:p w14:paraId="3E270447">
            <w:pPr>
              <w:widowControl/>
              <w:rPr>
                <w:rFonts w:ascii="仿宋_GB2312" w:hAnsi="宋体" w:eastAsia="仿宋_GB2312"/>
                <w:color w:val="auto"/>
                <w:sz w:val="24"/>
              </w:rPr>
            </w:pPr>
            <w:r>
              <w:rPr>
                <w:rFonts w:hint="eastAsia" w:ascii="仿宋_GB2312" w:hAnsi="宋体" w:eastAsia="仿宋_GB2312"/>
                <w:color w:val="auto"/>
                <w:sz w:val="24"/>
              </w:rPr>
              <w:t>了解运动训练的目的、任务，掌握运动训练的基本概念和基本内容，理解运动训练的基本原理和方法，了解各种运动训练计划的制定，培养运用所学知识去分析和解决运动训练实际问题的能力。</w:t>
            </w:r>
          </w:p>
        </w:tc>
        <w:tc>
          <w:tcPr>
            <w:tcW w:w="794" w:type="dxa"/>
            <w:vAlign w:val="center"/>
          </w:tcPr>
          <w:p w14:paraId="135BBA6F">
            <w:pPr>
              <w:pStyle w:val="12"/>
              <w:spacing w:line="360" w:lineRule="auto"/>
              <w:ind w:firstLine="0" w:firstLineChars="0"/>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60</w:t>
            </w:r>
          </w:p>
        </w:tc>
      </w:tr>
      <w:tr w14:paraId="4890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shd w:val="clear" w:color="auto" w:fill="auto"/>
            <w:vAlign w:val="center"/>
          </w:tcPr>
          <w:p w14:paraId="3ECAD1C6">
            <w:pPr>
              <w:widowControl/>
              <w:spacing w:line="288" w:lineRule="auto"/>
              <w:jc w:val="center"/>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lang w:val="en-US" w:eastAsia="zh-CN"/>
              </w:rPr>
              <w:t>4</w:t>
            </w:r>
          </w:p>
        </w:tc>
        <w:tc>
          <w:tcPr>
            <w:tcW w:w="2126" w:type="dxa"/>
            <w:shd w:val="clear" w:color="auto" w:fill="auto"/>
            <w:vAlign w:val="center"/>
          </w:tcPr>
          <w:p w14:paraId="7234F895">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公共关系管理</w:t>
            </w:r>
          </w:p>
        </w:tc>
        <w:tc>
          <w:tcPr>
            <w:tcW w:w="6096" w:type="dxa"/>
            <w:shd w:val="clear" w:color="auto" w:fill="auto"/>
            <w:vAlign w:val="center"/>
          </w:tcPr>
          <w:p w14:paraId="3990778E">
            <w:pPr>
              <w:widowControl/>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掌握公共关系的基本原理，运用公关基本原理进行案例分析，解决一些公关问题。</w:t>
            </w:r>
          </w:p>
        </w:tc>
        <w:tc>
          <w:tcPr>
            <w:tcW w:w="794" w:type="dxa"/>
            <w:shd w:val="clear" w:color="auto" w:fill="auto"/>
            <w:vAlign w:val="center"/>
          </w:tcPr>
          <w:p w14:paraId="466BE14C">
            <w:pPr>
              <w:pStyle w:val="12"/>
              <w:spacing w:line="360" w:lineRule="auto"/>
              <w:ind w:firstLine="0" w:firstLineChars="0"/>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kern w:val="2"/>
                <w:sz w:val="24"/>
                <w:szCs w:val="24"/>
                <w:lang w:val="en-US" w:eastAsia="zh-CN" w:bidi="ar-SA"/>
              </w:rPr>
              <w:t>80</w:t>
            </w:r>
          </w:p>
        </w:tc>
      </w:tr>
      <w:tr w14:paraId="67A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shd w:val="clear" w:color="auto" w:fill="auto"/>
            <w:vAlign w:val="center"/>
          </w:tcPr>
          <w:p w14:paraId="017AB75D">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5</w:t>
            </w:r>
          </w:p>
        </w:tc>
        <w:tc>
          <w:tcPr>
            <w:tcW w:w="2126" w:type="dxa"/>
            <w:shd w:val="clear" w:color="auto" w:fill="auto"/>
            <w:vAlign w:val="center"/>
          </w:tcPr>
          <w:p w14:paraId="3A1B2462">
            <w:pPr>
              <w:widowControl/>
              <w:spacing w:line="288" w:lineRule="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教育学基础</w:t>
            </w:r>
          </w:p>
        </w:tc>
        <w:tc>
          <w:tcPr>
            <w:tcW w:w="6096" w:type="dxa"/>
            <w:shd w:val="clear" w:color="auto" w:fill="auto"/>
            <w:vAlign w:val="center"/>
          </w:tcPr>
          <w:p w14:paraId="20EDF47F">
            <w:pPr>
              <w:widowControl/>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掌握教育学的基本理论</w:t>
            </w:r>
          </w:p>
        </w:tc>
        <w:tc>
          <w:tcPr>
            <w:tcW w:w="794" w:type="dxa"/>
            <w:shd w:val="clear" w:color="auto" w:fill="auto"/>
            <w:vAlign w:val="center"/>
          </w:tcPr>
          <w:p w14:paraId="76317B16">
            <w:pPr>
              <w:pStyle w:val="12"/>
              <w:spacing w:line="360" w:lineRule="auto"/>
              <w:ind w:firstLine="0" w:firstLineChars="0"/>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s="Times New Roman"/>
                <w:color w:val="auto"/>
                <w:kern w:val="2"/>
                <w:sz w:val="24"/>
                <w:szCs w:val="24"/>
                <w:lang w:val="en-US" w:eastAsia="zh-CN" w:bidi="ar-SA"/>
              </w:rPr>
              <w:t>160</w:t>
            </w:r>
          </w:p>
        </w:tc>
      </w:tr>
    </w:tbl>
    <w:p w14:paraId="47EBB61F">
      <w:pPr>
        <w:spacing w:line="560" w:lineRule="exact"/>
        <w:ind w:firstLine="643" w:firstLineChars="200"/>
        <w:outlineLvl w:val="0"/>
        <w:rPr>
          <w:rFonts w:ascii="仿宋_GB2312" w:hAnsi="宋体" w:eastAsia="仿宋_GB2312" w:cs="宋体"/>
          <w:b/>
          <w:bCs/>
          <w:color w:val="auto"/>
          <w:sz w:val="32"/>
          <w:szCs w:val="32"/>
        </w:rPr>
      </w:pPr>
      <w:r>
        <w:rPr>
          <w:rFonts w:hint="eastAsia" w:ascii="仿宋_GB2312" w:hAnsi="宋体" w:eastAsia="仿宋_GB2312" w:cs="宋体"/>
          <w:b/>
          <w:bCs/>
          <w:color w:val="auto"/>
          <w:sz w:val="32"/>
          <w:szCs w:val="32"/>
        </w:rPr>
        <w:t>2.专业</w:t>
      </w:r>
      <w:r>
        <w:rPr>
          <w:rFonts w:hint="eastAsia" w:ascii="仿宋_GB2312" w:hAnsi="宋体" w:eastAsia="仿宋_GB2312" w:cs="宋体"/>
          <w:b/>
          <w:bCs/>
          <w:color w:val="auto"/>
          <w:sz w:val="32"/>
          <w:szCs w:val="32"/>
          <w:lang w:val="en-US" w:eastAsia="zh-CN"/>
        </w:rPr>
        <w:t>拓展</w:t>
      </w:r>
      <w:r>
        <w:rPr>
          <w:rFonts w:hint="eastAsia" w:ascii="仿宋_GB2312" w:hAnsi="宋体" w:eastAsia="仿宋_GB2312" w:cs="宋体"/>
          <w:b/>
          <w:bCs/>
          <w:color w:val="auto"/>
          <w:sz w:val="32"/>
          <w:szCs w:val="32"/>
        </w:rPr>
        <w:t>课</w:t>
      </w:r>
    </w:p>
    <w:tbl>
      <w:tblPr>
        <w:tblStyle w:val="6"/>
        <w:tblW w:w="976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26"/>
        <w:gridCol w:w="6096"/>
        <w:gridCol w:w="794"/>
      </w:tblGrid>
      <w:tr w14:paraId="0F6D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7D43E5A">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序号</w:t>
            </w:r>
          </w:p>
        </w:tc>
        <w:tc>
          <w:tcPr>
            <w:tcW w:w="2126" w:type="dxa"/>
            <w:vAlign w:val="center"/>
          </w:tcPr>
          <w:p w14:paraId="378A7FD2">
            <w:pPr>
              <w:jc w:val="center"/>
              <w:rPr>
                <w:rFonts w:ascii="仿宋_GB2312" w:hAnsi="仿宋" w:eastAsia="仿宋_GB2312" w:cs="仿宋"/>
                <w:color w:val="auto"/>
                <w:sz w:val="24"/>
              </w:rPr>
            </w:pPr>
            <w:r>
              <w:rPr>
                <w:rFonts w:hint="eastAsia" w:ascii="仿宋_GB2312" w:hAnsi="仿宋" w:eastAsia="仿宋_GB2312" w:cs="仿宋"/>
                <w:b/>
                <w:bCs/>
                <w:color w:val="auto"/>
                <w:sz w:val="24"/>
              </w:rPr>
              <w:t>课程名称</w:t>
            </w:r>
          </w:p>
        </w:tc>
        <w:tc>
          <w:tcPr>
            <w:tcW w:w="6096" w:type="dxa"/>
            <w:vAlign w:val="center"/>
          </w:tcPr>
          <w:p w14:paraId="3013E64E">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主要教学内容和要求</w:t>
            </w:r>
          </w:p>
        </w:tc>
        <w:tc>
          <w:tcPr>
            <w:tcW w:w="794" w:type="dxa"/>
            <w:vAlign w:val="center"/>
          </w:tcPr>
          <w:p w14:paraId="5916F006">
            <w:pPr>
              <w:jc w:val="center"/>
              <w:rPr>
                <w:rFonts w:ascii="仿宋_GB2312" w:hAnsi="仿宋" w:eastAsia="仿宋_GB2312" w:cs="仿宋"/>
                <w:b/>
                <w:bCs/>
                <w:color w:val="auto"/>
                <w:sz w:val="24"/>
              </w:rPr>
            </w:pPr>
            <w:r>
              <w:rPr>
                <w:rFonts w:hint="eastAsia" w:ascii="仿宋_GB2312" w:hAnsi="仿宋" w:eastAsia="仿宋_GB2312" w:cs="仿宋"/>
                <w:b/>
                <w:bCs/>
                <w:color w:val="auto"/>
                <w:sz w:val="24"/>
              </w:rPr>
              <w:t>学时</w:t>
            </w:r>
          </w:p>
        </w:tc>
      </w:tr>
      <w:tr w14:paraId="5AA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85A4AB4">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2126" w:type="dxa"/>
            <w:vAlign w:val="center"/>
          </w:tcPr>
          <w:p w14:paraId="0CD4323B">
            <w:pPr>
              <w:widowControl/>
              <w:spacing w:line="288" w:lineRule="auto"/>
              <w:rPr>
                <w:rFonts w:ascii="仿宋_GB2312" w:hAnsi="宋体" w:eastAsia="仿宋_GB2312"/>
                <w:color w:val="auto"/>
                <w:sz w:val="24"/>
              </w:rPr>
            </w:pPr>
            <w:r>
              <w:rPr>
                <w:rFonts w:hint="eastAsia" w:ascii="仿宋_GB2312" w:hAnsi="宋体" w:eastAsia="仿宋_GB2312"/>
                <w:color w:val="auto"/>
                <w:sz w:val="24"/>
              </w:rPr>
              <w:t>法学概论</w:t>
            </w:r>
          </w:p>
        </w:tc>
        <w:tc>
          <w:tcPr>
            <w:tcW w:w="6096" w:type="dxa"/>
            <w:vAlign w:val="center"/>
          </w:tcPr>
          <w:p w14:paraId="4690F967">
            <w:pPr>
              <w:widowControl/>
              <w:rPr>
                <w:rFonts w:ascii="仿宋_GB2312" w:hAnsi="宋体" w:eastAsia="仿宋_GB2312"/>
                <w:color w:val="auto"/>
                <w:sz w:val="24"/>
              </w:rPr>
            </w:pPr>
            <w:r>
              <w:rPr>
                <w:rFonts w:hint="eastAsia" w:ascii="仿宋_GB2312" w:hAnsi="宋体" w:eastAsia="仿宋_GB2312"/>
                <w:color w:val="auto"/>
                <w:sz w:val="24"/>
              </w:rPr>
              <w:t>了解法学及治安管理的基本理论，明确当前治安问题的规律特点；正确运用治安管理工作的法律法规，掌握各项治安管理业务的工作要领。</w:t>
            </w:r>
          </w:p>
        </w:tc>
        <w:tc>
          <w:tcPr>
            <w:tcW w:w="794" w:type="dxa"/>
            <w:vAlign w:val="center"/>
          </w:tcPr>
          <w:p w14:paraId="724DD35A">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126</w:t>
            </w:r>
          </w:p>
        </w:tc>
      </w:tr>
      <w:tr w14:paraId="4A3F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F3B41EE">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2</w:t>
            </w:r>
          </w:p>
        </w:tc>
        <w:tc>
          <w:tcPr>
            <w:tcW w:w="2126" w:type="dxa"/>
            <w:vAlign w:val="center"/>
          </w:tcPr>
          <w:p w14:paraId="53C89CDB">
            <w:pPr>
              <w:widowControl/>
              <w:spacing w:line="288" w:lineRule="auto"/>
              <w:rPr>
                <w:rFonts w:ascii="仿宋_GB2312" w:hAnsi="宋体" w:eastAsia="仿宋_GB2312"/>
                <w:color w:val="auto"/>
                <w:sz w:val="24"/>
              </w:rPr>
            </w:pPr>
            <w:r>
              <w:rPr>
                <w:rFonts w:hint="eastAsia" w:ascii="仿宋_GB2312" w:hAnsi="宋体" w:eastAsia="仿宋_GB2312"/>
                <w:color w:val="auto"/>
                <w:sz w:val="24"/>
              </w:rPr>
              <w:t>民事诉讼法</w:t>
            </w:r>
          </w:p>
        </w:tc>
        <w:tc>
          <w:tcPr>
            <w:tcW w:w="6096" w:type="dxa"/>
            <w:vAlign w:val="center"/>
          </w:tcPr>
          <w:p w14:paraId="78E4A9EC">
            <w:pPr>
              <w:widowControl/>
              <w:rPr>
                <w:rFonts w:ascii="仿宋_GB2312" w:hAnsi="宋体" w:eastAsia="仿宋_GB2312"/>
                <w:color w:val="auto"/>
                <w:sz w:val="24"/>
              </w:rPr>
            </w:pPr>
            <w:r>
              <w:rPr>
                <w:rFonts w:hint="eastAsia" w:ascii="仿宋_GB2312" w:hAnsi="宋体" w:eastAsia="仿宋_GB2312"/>
                <w:color w:val="auto"/>
                <w:sz w:val="24"/>
              </w:rPr>
              <w:t>进行有关民法基本理论、基础知识、基本技能的教育和培养，通过学习，使学生能运用民法的基本原理和具体规则，处理好各种民事关系，正确认识、分析和处理各种民事纠纷。</w:t>
            </w:r>
          </w:p>
        </w:tc>
        <w:tc>
          <w:tcPr>
            <w:tcW w:w="794" w:type="dxa"/>
            <w:vAlign w:val="center"/>
          </w:tcPr>
          <w:p w14:paraId="29A4A8F5">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126</w:t>
            </w:r>
          </w:p>
        </w:tc>
      </w:tr>
      <w:tr w14:paraId="46DA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DADA035">
            <w:pPr>
              <w:widowControl/>
              <w:spacing w:line="288" w:lineRule="auto"/>
              <w:jc w:val="center"/>
              <w:rPr>
                <w:rFonts w:ascii="仿宋_GB2312" w:hAnsi="宋体" w:eastAsia="仿宋_GB2312"/>
                <w:color w:val="auto"/>
                <w:sz w:val="24"/>
              </w:rPr>
            </w:pPr>
            <w:r>
              <w:rPr>
                <w:rFonts w:hint="eastAsia" w:ascii="仿宋_GB2312" w:hAnsi="宋体" w:eastAsia="仿宋_GB2312"/>
                <w:color w:val="auto"/>
                <w:sz w:val="24"/>
              </w:rPr>
              <w:t>3</w:t>
            </w:r>
          </w:p>
        </w:tc>
        <w:tc>
          <w:tcPr>
            <w:tcW w:w="2126" w:type="dxa"/>
            <w:vAlign w:val="center"/>
          </w:tcPr>
          <w:p w14:paraId="5A0068F9">
            <w:pPr>
              <w:widowControl/>
              <w:spacing w:line="288" w:lineRule="auto"/>
              <w:rPr>
                <w:rFonts w:ascii="仿宋_GB2312" w:hAnsi="宋体" w:eastAsia="仿宋_GB2312"/>
                <w:color w:val="auto"/>
                <w:sz w:val="24"/>
              </w:rPr>
            </w:pPr>
            <w:r>
              <w:rPr>
                <w:rFonts w:hint="eastAsia" w:ascii="仿宋_GB2312" w:hAnsi="宋体" w:eastAsia="仿宋_GB2312"/>
                <w:color w:val="auto"/>
                <w:sz w:val="24"/>
              </w:rPr>
              <w:t>军事思想概论</w:t>
            </w:r>
          </w:p>
        </w:tc>
        <w:tc>
          <w:tcPr>
            <w:tcW w:w="6096" w:type="dxa"/>
            <w:vAlign w:val="center"/>
          </w:tcPr>
          <w:p w14:paraId="6DD34D35">
            <w:pPr>
              <w:widowControl/>
              <w:rPr>
                <w:rFonts w:ascii="仿宋_GB2312" w:hAnsi="宋体" w:eastAsia="仿宋_GB2312"/>
                <w:color w:val="auto"/>
                <w:sz w:val="24"/>
              </w:rPr>
            </w:pPr>
            <w:r>
              <w:rPr>
                <w:rFonts w:hint="eastAsia" w:ascii="仿宋_GB2312" w:hAnsi="宋体" w:eastAsia="仿宋_GB2312"/>
                <w:color w:val="auto"/>
                <w:sz w:val="24"/>
              </w:rPr>
              <w:t>对战争、军队、国防基本问题的理性认识，认识人们从事军事实践经验总结和理论的概括。</w:t>
            </w:r>
          </w:p>
        </w:tc>
        <w:tc>
          <w:tcPr>
            <w:tcW w:w="794" w:type="dxa"/>
            <w:vAlign w:val="center"/>
          </w:tcPr>
          <w:p w14:paraId="4A7B683F">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80</w:t>
            </w:r>
          </w:p>
        </w:tc>
      </w:tr>
      <w:tr w14:paraId="1EA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9413353">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4</w:t>
            </w:r>
          </w:p>
        </w:tc>
        <w:tc>
          <w:tcPr>
            <w:tcW w:w="2126" w:type="dxa"/>
            <w:shd w:val="clear" w:color="auto" w:fill="auto"/>
            <w:vAlign w:val="center"/>
          </w:tcPr>
          <w:p w14:paraId="0256CF45">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公民素质与现代礼仪</w:t>
            </w:r>
          </w:p>
        </w:tc>
        <w:tc>
          <w:tcPr>
            <w:tcW w:w="6096" w:type="dxa"/>
            <w:shd w:val="clear" w:color="auto" w:fill="auto"/>
            <w:vAlign w:val="center"/>
          </w:tcPr>
          <w:p w14:paraId="734E011A">
            <w:pPr>
              <w:widowControl/>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在理论学习和技能操作中掌握敬人、自律、适度、真诚等礼仪原则和相关的知识，并能综合运用于实践生活中，将学生培养成讲文明懂礼仪的高素质人才。</w:t>
            </w:r>
          </w:p>
        </w:tc>
        <w:tc>
          <w:tcPr>
            <w:tcW w:w="794" w:type="dxa"/>
            <w:vAlign w:val="center"/>
          </w:tcPr>
          <w:p w14:paraId="096B5BE0">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80</w:t>
            </w:r>
          </w:p>
        </w:tc>
      </w:tr>
      <w:tr w14:paraId="6DE8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F151BA5">
            <w:pPr>
              <w:widowControl/>
              <w:spacing w:line="288" w:lineRule="auto"/>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5</w:t>
            </w:r>
          </w:p>
        </w:tc>
        <w:tc>
          <w:tcPr>
            <w:tcW w:w="2126" w:type="dxa"/>
            <w:vAlign w:val="center"/>
          </w:tcPr>
          <w:p w14:paraId="5F599635">
            <w:pPr>
              <w:widowControl/>
              <w:spacing w:line="288" w:lineRule="auto"/>
              <w:rPr>
                <w:rFonts w:ascii="仿宋_GB2312" w:hAnsi="宋体" w:eastAsia="仿宋_GB2312"/>
                <w:color w:val="auto"/>
                <w:sz w:val="24"/>
              </w:rPr>
            </w:pPr>
            <w:r>
              <w:rPr>
                <w:rFonts w:hint="eastAsia" w:ascii="仿宋_GB2312" w:hAnsi="宋体" w:eastAsia="仿宋_GB2312"/>
                <w:color w:val="auto"/>
                <w:sz w:val="24"/>
              </w:rPr>
              <w:t>行政学原理</w:t>
            </w:r>
          </w:p>
        </w:tc>
        <w:tc>
          <w:tcPr>
            <w:tcW w:w="6096" w:type="dxa"/>
            <w:vAlign w:val="center"/>
          </w:tcPr>
          <w:p w14:paraId="62D995F5">
            <w:pPr>
              <w:widowControl/>
              <w:rPr>
                <w:rFonts w:ascii="仿宋_GB2312" w:hAnsi="宋体" w:eastAsia="仿宋_GB2312"/>
                <w:color w:val="auto"/>
                <w:sz w:val="24"/>
              </w:rPr>
            </w:pPr>
            <w:r>
              <w:rPr>
                <w:rFonts w:hint="eastAsia" w:ascii="仿宋_GB2312" w:hAnsi="宋体" w:eastAsia="仿宋_GB2312"/>
                <w:color w:val="auto"/>
                <w:sz w:val="24"/>
              </w:rPr>
              <w:t>了解政府运行职能、政府履行职能保障条件、政府改革创新三大部分内容，让学生知道政府“管什么”、“如何管”、“用什么方法技术管”。</w:t>
            </w:r>
          </w:p>
        </w:tc>
        <w:tc>
          <w:tcPr>
            <w:tcW w:w="794" w:type="dxa"/>
            <w:vAlign w:val="center"/>
          </w:tcPr>
          <w:p w14:paraId="74C620DA">
            <w:pPr>
              <w:widowControl/>
              <w:spacing w:line="288" w:lineRule="auto"/>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126</w:t>
            </w:r>
          </w:p>
        </w:tc>
      </w:tr>
      <w:tr w14:paraId="0487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F556A7C">
            <w:pPr>
              <w:widowControl/>
              <w:spacing w:line="288" w:lineRule="auto"/>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6</w:t>
            </w:r>
          </w:p>
        </w:tc>
        <w:tc>
          <w:tcPr>
            <w:tcW w:w="2126" w:type="dxa"/>
            <w:shd w:val="clear" w:color="auto" w:fill="auto"/>
            <w:vAlign w:val="center"/>
          </w:tcPr>
          <w:p w14:paraId="5FA9E23E">
            <w:pPr>
              <w:widowControl/>
              <w:spacing w:line="288" w:lineRule="auto"/>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防卫与控制技术</w:t>
            </w:r>
          </w:p>
        </w:tc>
        <w:tc>
          <w:tcPr>
            <w:tcW w:w="6096" w:type="dxa"/>
            <w:shd w:val="clear" w:color="auto" w:fill="auto"/>
            <w:vAlign w:val="center"/>
          </w:tcPr>
          <w:p w14:paraId="77F61B38">
            <w:pPr>
              <w:widowControl/>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学习基本格斗技术、缉捕技术和安全保卫技术，要求学生掌握依法制服犯罪分子或犯罪嫌疑人的技能。</w:t>
            </w:r>
          </w:p>
        </w:tc>
        <w:tc>
          <w:tcPr>
            <w:tcW w:w="794" w:type="dxa"/>
            <w:shd w:val="clear" w:color="auto" w:fill="auto"/>
            <w:vAlign w:val="center"/>
          </w:tcPr>
          <w:p w14:paraId="211FEF34">
            <w:pPr>
              <w:pStyle w:val="12"/>
              <w:spacing w:line="360" w:lineRule="auto"/>
              <w:ind w:firstLine="0" w:firstLineChars="0"/>
              <w:rPr>
                <w:rFonts w:hint="default" w:ascii="仿宋_GB2312" w:hAnsi="宋体" w:eastAsia="仿宋_GB2312" w:cs="Times New Roman"/>
                <w:color w:val="auto"/>
                <w:kern w:val="2"/>
                <w:sz w:val="24"/>
                <w:szCs w:val="18"/>
                <w:lang w:val="en-US" w:eastAsia="zh-CN" w:bidi="ar-SA"/>
              </w:rPr>
            </w:pPr>
            <w:r>
              <w:rPr>
                <w:rFonts w:hint="eastAsia" w:ascii="仿宋_GB2312" w:hAnsi="宋体" w:eastAsia="仿宋_GB2312" w:cs="Times New Roman"/>
                <w:color w:val="auto"/>
                <w:kern w:val="2"/>
                <w:sz w:val="24"/>
                <w:szCs w:val="18"/>
                <w:lang w:val="en-US" w:eastAsia="zh-CN" w:bidi="ar-SA"/>
              </w:rPr>
              <w:t>126</w:t>
            </w:r>
          </w:p>
        </w:tc>
      </w:tr>
    </w:tbl>
    <w:p w14:paraId="11A1F00A">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3.综合实训</w:t>
      </w:r>
    </w:p>
    <w:p w14:paraId="6501A595">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运动训练专业的实训，主要包括防身实战姿势和步法、防身实战进攻技术、防身实战技术运用、警械使用、体育社会组建与运行、竞技体育观摩、观察运动中人体机能变化规律、按摩见习、功能检查与评价、运动伤病的防治、深度知觉的测定和知觉类型的测定、体育活动中的目标设置、注意分配能力的测定、动作技能迁移能力的测定、个性与气质类型的测定、力量训练、速度训练、耐力训练、柔韧训练、灵敏训练、培养战术意识、制定战术、战术运用、演讲比赛、礼仪展示、公关流程策划、法律知识运用场景模拟、社会体育指导员的考核与申报等。通过综合实训将书本上的理论知识运用到实际当中，使学生熟悉工作流程和实训方法与步骤；通过综合实训提前与生产单位对接，为生产单位提供对口的高素质劳动者和技能型人才。</w:t>
      </w:r>
    </w:p>
    <w:p w14:paraId="6A01EDDB">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4.顶岗实习</w:t>
      </w:r>
    </w:p>
    <w:p w14:paraId="6202C7DC">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采取学校安排与学生自主联系相结合的办法确定实习单位。学校安排主要以供需见面招聘的方式进行，自主联系则由学生本人申请，学校批准后办理相关手续。</w:t>
      </w:r>
    </w:p>
    <w:p w14:paraId="3B3E0447">
      <w:pPr>
        <w:spacing w:line="360" w:lineRule="auto"/>
        <w:ind w:firstLine="640" w:firstLineChars="200"/>
        <w:outlineLvl w:val="0"/>
        <w:rPr>
          <w:rFonts w:ascii="仿宋_GB2312" w:hAnsi="宋体" w:eastAsia="仿宋_GB2312" w:cs="宋体"/>
          <w:bCs/>
          <w:sz w:val="32"/>
          <w:szCs w:val="32"/>
        </w:rPr>
      </w:pPr>
      <w:r>
        <w:rPr>
          <w:rFonts w:hint="eastAsia" w:ascii="仿宋_GB2312" w:hAnsi="宋体" w:eastAsia="仿宋_GB2312" w:cs="宋体"/>
          <w:bCs/>
          <w:sz w:val="32"/>
          <w:szCs w:val="32"/>
        </w:rPr>
        <w:t>由学校和实习单位分别指派实习指导教师，负责学生实习过程及撰写实习业务报告的指导、审阅、成绩评定等工作。指导教师于顶岗实习开始前与所分配指导的学生集中见面，布置任务及要求，明确上交资料时间和双方联系方式，实习期间，指导教师要做好顶岗实习指导记录。</w:t>
      </w:r>
    </w:p>
    <w:p w14:paraId="1A3857ED">
      <w:pPr>
        <w:spacing w:line="360" w:lineRule="auto"/>
        <w:ind w:firstLine="643" w:firstLineChars="200"/>
        <w:outlineLvl w:val="0"/>
        <w:rPr>
          <w:rFonts w:ascii="仿宋_GB2312" w:hAnsi="黑体" w:eastAsia="仿宋_GB2312"/>
          <w:b/>
          <w:bCs/>
          <w:color w:val="000000"/>
          <w:sz w:val="32"/>
          <w:szCs w:val="32"/>
        </w:rPr>
      </w:pPr>
      <w:bookmarkStart w:id="4" w:name="_Toc30418_WPSOffice_Level1"/>
      <w:r>
        <w:rPr>
          <w:rFonts w:hint="eastAsia" w:ascii="仿宋_GB2312" w:hAnsi="黑体" w:eastAsia="仿宋_GB2312"/>
          <w:b/>
          <w:bCs/>
          <w:color w:val="000000"/>
          <w:sz w:val="32"/>
          <w:szCs w:val="32"/>
        </w:rPr>
        <w:t>七、教学进程总体安排</w:t>
      </w:r>
      <w:bookmarkEnd w:id="4"/>
    </w:p>
    <w:p w14:paraId="4A915310">
      <w:pPr>
        <w:spacing w:line="360" w:lineRule="auto"/>
        <w:ind w:firstLine="630" w:firstLineChars="196"/>
        <w:outlineLvl w:val="0"/>
        <w:rPr>
          <w:rFonts w:ascii="仿宋_GB2312" w:hAnsi="黑体" w:eastAsia="仿宋_GB2312"/>
          <w:b/>
          <w:bCs/>
          <w:color w:val="000000"/>
          <w:sz w:val="32"/>
          <w:szCs w:val="32"/>
        </w:rPr>
      </w:pPr>
      <w:r>
        <w:rPr>
          <w:rFonts w:hint="eastAsia" w:ascii="仿宋_GB2312" w:hAnsi="宋体" w:eastAsia="仿宋_GB2312"/>
          <w:b/>
          <w:bCs/>
          <w:color w:val="000000"/>
          <w:sz w:val="32"/>
          <w:szCs w:val="32"/>
        </w:rPr>
        <w:t>㈠</w:t>
      </w:r>
      <w:r>
        <w:rPr>
          <w:rFonts w:hint="eastAsia" w:ascii="仿宋_GB2312" w:hAnsi="黑体" w:eastAsia="仿宋_GB2312"/>
          <w:b/>
          <w:bCs/>
          <w:color w:val="000000"/>
          <w:sz w:val="32"/>
          <w:szCs w:val="32"/>
        </w:rPr>
        <w:t>基本要求</w:t>
      </w:r>
    </w:p>
    <w:p w14:paraId="2E7B5AFB">
      <w:pPr>
        <w:spacing w:line="360" w:lineRule="auto"/>
        <w:ind w:firstLine="691" w:firstLineChars="216"/>
        <w:rPr>
          <w:rFonts w:ascii="仿宋_GB2312" w:hAnsi="宋体" w:eastAsia="仿宋_GB2312" w:cs="宋体"/>
          <w:color w:val="000000"/>
          <w:sz w:val="32"/>
          <w:szCs w:val="32"/>
        </w:rPr>
      </w:pPr>
      <w:r>
        <w:rPr>
          <w:rFonts w:hint="eastAsia" w:ascii="仿宋_GB2312" w:hAnsi="宋体" w:eastAsia="仿宋_GB2312" w:cs="宋体"/>
          <w:color w:val="000000"/>
          <w:sz w:val="32"/>
          <w:szCs w:val="32"/>
        </w:rPr>
        <w:t>每学年为52周，其中教学时间40周（含复习考试），累计假期12周，周学时一般为28学时，顶岗实习按每周30小时（1小时折合1学时）安排，3年总学时数为3000-3500。课程开设顺序和周学时安排，学校可根据实际情况调整。</w:t>
      </w:r>
    </w:p>
    <w:p w14:paraId="0E9B19CD">
      <w:pPr>
        <w:spacing w:line="360" w:lineRule="auto"/>
        <w:ind w:firstLine="482"/>
        <w:rPr>
          <w:rFonts w:ascii="宋体" w:hAnsi="宋体" w:cs="宋体"/>
          <w:color w:val="000000"/>
          <w:sz w:val="29"/>
          <w:szCs w:val="29"/>
        </w:rPr>
      </w:pPr>
      <w:r>
        <w:rPr>
          <w:rFonts w:hint="eastAsia" w:ascii="仿宋_GB2312" w:hAnsi="宋体" w:eastAsia="仿宋_GB2312" w:cs="宋体"/>
          <w:color w:val="000000"/>
          <w:sz w:val="32"/>
          <w:szCs w:val="32"/>
        </w:rPr>
        <w:t>实行学分制的学校，一般16-18学时为1学分，3年制总学分不得少于170。军训、社会实践、入学教育、毕业教育等活动以1周为1学分，共5学分。</w:t>
      </w:r>
    </w:p>
    <w:p w14:paraId="77CEED74">
      <w:pPr>
        <w:spacing w:line="360" w:lineRule="auto"/>
        <w:ind w:firstLine="691" w:firstLineChars="216"/>
        <w:rPr>
          <w:rFonts w:ascii="仿宋_GB2312" w:hAnsi="宋体" w:eastAsia="仿宋_GB2312" w:cs="宋体"/>
          <w:color w:val="000000"/>
          <w:sz w:val="32"/>
          <w:szCs w:val="32"/>
        </w:rPr>
      </w:pPr>
      <w:r>
        <w:rPr>
          <w:rFonts w:hint="eastAsia" w:ascii="仿宋_GB2312" w:hAnsi="宋体" w:eastAsia="仿宋_GB2312" w:cs="宋体"/>
          <w:color w:val="000000"/>
          <w:sz w:val="32"/>
          <w:szCs w:val="32"/>
        </w:rPr>
        <w:t>公共基础课学时约占总学时的1/3，允许根据行业人才培养的实际需要在规定的范围内适当调整，但必须保证学生修完公共基础课的必修内容和学时。</w:t>
      </w:r>
    </w:p>
    <w:p w14:paraId="16C8EC3C">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专业技能课学时约占总学时的2/3，在确保学生实习总量的前提下，可根据实际需要集中或分阶段安排实习时间。</w:t>
      </w:r>
    </w:p>
    <w:p w14:paraId="3BEDFDE0">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课程设置中应设选修课，其学时数占总学时的比例应不少于10%。</w:t>
      </w:r>
    </w:p>
    <w:p w14:paraId="42FA5815">
      <w:pPr>
        <w:spacing w:line="560" w:lineRule="exact"/>
        <w:ind w:firstLine="800" w:firstLineChars="249"/>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㈡教学进程表</w:t>
      </w:r>
    </w:p>
    <w:p w14:paraId="37AC2E16">
      <w:pPr>
        <w:spacing w:line="560" w:lineRule="exact"/>
        <w:ind w:firstLine="796" w:firstLineChars="249"/>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详见附录：运动训练专业教学进程表</w:t>
      </w:r>
    </w:p>
    <w:p w14:paraId="3402D07A">
      <w:pPr>
        <w:spacing w:line="560" w:lineRule="exact"/>
        <w:ind w:firstLine="800" w:firstLineChars="249"/>
        <w:outlineLvl w:val="0"/>
        <w:rPr>
          <w:rFonts w:hint="eastAsia" w:ascii="仿宋_GB2312" w:hAnsi="黑体" w:eastAsia="仿宋_GB2312"/>
          <w:b/>
          <w:bCs/>
          <w:color w:val="000000"/>
          <w:sz w:val="32"/>
          <w:szCs w:val="32"/>
        </w:rPr>
      </w:pPr>
    </w:p>
    <w:p w14:paraId="75AAA005">
      <w:pPr>
        <w:spacing w:line="560" w:lineRule="exact"/>
        <w:ind w:firstLine="800" w:firstLineChars="249"/>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八、实施保障</w:t>
      </w:r>
    </w:p>
    <w:p w14:paraId="587552E3">
      <w:pPr>
        <w:spacing w:line="560" w:lineRule="exact"/>
        <w:ind w:firstLine="800" w:firstLineChars="249"/>
        <w:outlineLvl w:val="0"/>
        <w:rPr>
          <w:rFonts w:ascii="仿宋_GB2312" w:hAnsi="黑体" w:eastAsia="仿宋_GB2312"/>
          <w:b/>
          <w:bCs/>
          <w:color w:val="000000"/>
          <w:sz w:val="32"/>
          <w:szCs w:val="32"/>
        </w:rPr>
      </w:pPr>
      <w:r>
        <w:rPr>
          <w:rFonts w:hint="eastAsia" w:ascii="宋体" w:hAnsi="宋体" w:eastAsia="仿宋_GB2312"/>
          <w:b/>
          <w:bCs/>
          <w:color w:val="000000"/>
          <w:sz w:val="32"/>
          <w:szCs w:val="32"/>
          <w:lang w:eastAsia="zh-CN"/>
        </w:rPr>
        <w:t>（</w:t>
      </w:r>
      <w:r>
        <w:rPr>
          <w:rFonts w:hint="eastAsia" w:ascii="宋体" w:hAnsi="宋体" w:eastAsia="仿宋_GB2312"/>
          <w:b/>
          <w:bCs/>
          <w:color w:val="000000"/>
          <w:sz w:val="32"/>
          <w:szCs w:val="32"/>
          <w:lang w:val="en-US" w:eastAsia="zh-CN"/>
        </w:rPr>
        <w:t>一</w:t>
      </w:r>
      <w:r>
        <w:rPr>
          <w:rFonts w:hint="eastAsia" w:ascii="宋体" w:hAnsi="宋体" w:eastAsia="仿宋_GB2312"/>
          <w:b/>
          <w:bCs/>
          <w:color w:val="000000"/>
          <w:sz w:val="32"/>
          <w:szCs w:val="32"/>
          <w:lang w:eastAsia="zh-CN"/>
        </w:rPr>
        <w:t>）</w:t>
      </w:r>
      <w:r>
        <w:rPr>
          <w:rFonts w:hint="eastAsia" w:ascii="仿宋_GB2312" w:hAnsi="黑体" w:eastAsia="仿宋_GB2312"/>
          <w:b/>
          <w:bCs/>
          <w:color w:val="000000"/>
          <w:sz w:val="32"/>
          <w:szCs w:val="32"/>
        </w:rPr>
        <w:t>师资队伍</w:t>
      </w:r>
    </w:p>
    <w:p w14:paraId="2C83DBAF">
      <w:pPr>
        <w:spacing w:line="560" w:lineRule="exact"/>
        <w:ind w:firstLine="796" w:firstLineChars="249"/>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据教育部颁布的《中等职业学校教师专业标准》和《中等职业学校设置标准》的有关规定，进行教师队伍建设，合理配置教师资源。专业教师学历职称结构应合理，至少应配备具有相关专业中级以上专业技术职务的专任教师2人，其中“双师型”教师应不低于30%。建立“双师型”专业教师团队，应有业务水平较高的专业带头人。</w:t>
      </w:r>
    </w:p>
    <w:p w14:paraId="11783A39">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专业任课教师应具有良好的师德，关注学生发展；对本专业知识有较为全面的了解，熟悉教学规律，具备教学改革意识；关注林业行业发展的动态，对林业行业的专业知识有较深入的研究，具有林业企业工作经验或实践经历。也可从林业企业聘请具有丰富教学经验的中级职称以上工程技术人员，担任教学工作。</w:t>
      </w:r>
    </w:p>
    <w:p w14:paraId="0F2539EA">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lang w:val="en-US" w:eastAsia="zh-CN"/>
        </w:rPr>
        <w:t>二</w:t>
      </w: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rPr>
        <w:t>教学设施</w:t>
      </w:r>
    </w:p>
    <w:p w14:paraId="788C048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专业应建立2-3个稳定的校外实训基地和若干个顶岗实习点。大力推进与规范的大中型企业合作，共同将校外实训基地建成集学生生产实习、“双师型”教师培养培训和产教研的基地。根据本专业岗位实习要求，通过深化校企合作,签订校企合作协议的企业8个，建设成为校外实训基地5个，如下所示：</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24"/>
        <w:gridCol w:w="1134"/>
        <w:gridCol w:w="1701"/>
        <w:gridCol w:w="3260"/>
      </w:tblGrid>
      <w:tr w14:paraId="524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61" w:type="dxa"/>
            <w:shd w:val="clear" w:color="auto" w:fill="auto"/>
            <w:vAlign w:val="center"/>
          </w:tcPr>
          <w:p w14:paraId="78201EFB">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序号</w:t>
            </w:r>
          </w:p>
        </w:tc>
        <w:tc>
          <w:tcPr>
            <w:tcW w:w="2424" w:type="dxa"/>
            <w:shd w:val="clear" w:color="auto" w:fill="auto"/>
            <w:vAlign w:val="center"/>
          </w:tcPr>
          <w:p w14:paraId="27A72D00">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企业名称</w:t>
            </w:r>
          </w:p>
        </w:tc>
        <w:tc>
          <w:tcPr>
            <w:tcW w:w="1134" w:type="dxa"/>
            <w:shd w:val="clear" w:color="auto" w:fill="auto"/>
            <w:vAlign w:val="center"/>
          </w:tcPr>
          <w:p w14:paraId="3902D931">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实训容量</w:t>
            </w:r>
          </w:p>
        </w:tc>
        <w:tc>
          <w:tcPr>
            <w:tcW w:w="1701" w:type="dxa"/>
            <w:shd w:val="clear" w:color="auto" w:fill="auto"/>
            <w:vAlign w:val="center"/>
          </w:tcPr>
          <w:p w14:paraId="71D0A0EB">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校企合作类型</w:t>
            </w:r>
          </w:p>
        </w:tc>
        <w:tc>
          <w:tcPr>
            <w:tcW w:w="3260" w:type="dxa"/>
            <w:shd w:val="clear" w:color="auto" w:fill="auto"/>
            <w:vAlign w:val="center"/>
          </w:tcPr>
          <w:p w14:paraId="332F750D">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合作范围</w:t>
            </w:r>
          </w:p>
        </w:tc>
      </w:tr>
      <w:tr w14:paraId="0CCA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1" w:type="dxa"/>
            <w:vAlign w:val="center"/>
          </w:tcPr>
          <w:p w14:paraId="4DD6EB46">
            <w:pPr>
              <w:jc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2424" w:type="dxa"/>
            <w:vAlign w:val="center"/>
          </w:tcPr>
          <w:p w14:paraId="3E124FE3">
            <w:pPr>
              <w:jc w:val="center"/>
              <w:rPr>
                <w:rFonts w:ascii="仿宋_GB2312" w:hAnsi="宋体" w:eastAsia="仿宋_GB2312" w:cs="宋体"/>
                <w:color w:val="000000"/>
                <w:sz w:val="24"/>
              </w:rPr>
            </w:pPr>
            <w:r>
              <w:rPr>
                <w:rFonts w:hint="eastAsia" w:ascii="仿宋_GB2312" w:hAnsi="宋体" w:eastAsia="仿宋_GB2312" w:cs="宋体"/>
                <w:color w:val="000000"/>
                <w:sz w:val="24"/>
              </w:rPr>
              <w:t>龙城物业管理有限公司</w:t>
            </w:r>
          </w:p>
        </w:tc>
        <w:tc>
          <w:tcPr>
            <w:tcW w:w="1134" w:type="dxa"/>
            <w:vAlign w:val="center"/>
          </w:tcPr>
          <w:p w14:paraId="2FB81FCE">
            <w:pPr>
              <w:jc w:val="center"/>
              <w:rPr>
                <w:rFonts w:ascii="仿宋_GB2312" w:hAnsi="宋体" w:eastAsia="仿宋_GB2312" w:cs="宋体"/>
                <w:color w:val="000000"/>
                <w:sz w:val="24"/>
              </w:rPr>
            </w:pPr>
            <w:r>
              <w:rPr>
                <w:rFonts w:hint="eastAsia" w:ascii="仿宋_GB2312" w:hAnsi="宋体" w:eastAsia="仿宋_GB2312" w:cs="宋体"/>
                <w:color w:val="000000"/>
                <w:sz w:val="24"/>
              </w:rPr>
              <w:t>100人</w:t>
            </w:r>
          </w:p>
        </w:tc>
        <w:tc>
          <w:tcPr>
            <w:tcW w:w="1701" w:type="dxa"/>
            <w:vAlign w:val="center"/>
          </w:tcPr>
          <w:p w14:paraId="3D80D5B7">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024AE016">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50F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14:paraId="2FB40122">
            <w:pPr>
              <w:jc w:val="center"/>
              <w:rPr>
                <w:rFonts w:ascii="仿宋_GB2312" w:hAnsi="宋体" w:eastAsia="仿宋_GB2312" w:cs="宋体"/>
                <w:color w:val="000000"/>
                <w:sz w:val="24"/>
              </w:rPr>
            </w:pPr>
            <w:r>
              <w:rPr>
                <w:rFonts w:hint="eastAsia" w:ascii="仿宋_GB2312" w:hAnsi="宋体" w:eastAsia="仿宋_GB2312" w:cs="宋体"/>
                <w:color w:val="000000"/>
                <w:sz w:val="24"/>
              </w:rPr>
              <w:t>2</w:t>
            </w:r>
          </w:p>
        </w:tc>
        <w:tc>
          <w:tcPr>
            <w:tcW w:w="2424" w:type="dxa"/>
            <w:vAlign w:val="center"/>
          </w:tcPr>
          <w:p w14:paraId="246BF2D8">
            <w:pPr>
              <w:jc w:val="center"/>
              <w:rPr>
                <w:rFonts w:ascii="仿宋_GB2312" w:hAnsi="宋体" w:eastAsia="仿宋_GB2312" w:cs="宋体"/>
                <w:color w:val="000000"/>
                <w:sz w:val="24"/>
              </w:rPr>
            </w:pPr>
            <w:r>
              <w:rPr>
                <w:rFonts w:hint="eastAsia" w:ascii="仿宋_GB2312" w:hAnsi="宋体" w:eastAsia="仿宋_GB2312" w:cs="宋体"/>
                <w:color w:val="000000"/>
                <w:sz w:val="24"/>
              </w:rPr>
              <w:t>深圳市特区建设发展集团</w:t>
            </w:r>
          </w:p>
        </w:tc>
        <w:tc>
          <w:tcPr>
            <w:tcW w:w="1134" w:type="dxa"/>
            <w:vAlign w:val="center"/>
          </w:tcPr>
          <w:p w14:paraId="69E4F06F">
            <w:pPr>
              <w:jc w:val="center"/>
              <w:rPr>
                <w:rFonts w:ascii="仿宋_GB2312" w:hAnsi="宋体" w:eastAsia="仿宋_GB2312" w:cs="宋体"/>
                <w:color w:val="000000"/>
                <w:sz w:val="24"/>
              </w:rPr>
            </w:pPr>
            <w:r>
              <w:rPr>
                <w:rFonts w:hint="eastAsia" w:ascii="仿宋_GB2312" w:hAnsi="宋体" w:eastAsia="仿宋_GB2312" w:cs="宋体"/>
                <w:color w:val="000000"/>
                <w:sz w:val="24"/>
              </w:rPr>
              <w:t>300人</w:t>
            </w:r>
          </w:p>
        </w:tc>
        <w:tc>
          <w:tcPr>
            <w:tcW w:w="1701" w:type="dxa"/>
            <w:vAlign w:val="center"/>
          </w:tcPr>
          <w:p w14:paraId="6229CEBA">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510A2648">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73EB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14:paraId="2F1AF3A0">
            <w:pPr>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2424" w:type="dxa"/>
            <w:vAlign w:val="center"/>
          </w:tcPr>
          <w:p w14:paraId="5E3252A4">
            <w:pPr>
              <w:jc w:val="center"/>
              <w:rPr>
                <w:rFonts w:ascii="仿宋_GB2312" w:hAnsi="宋体" w:eastAsia="仿宋_GB2312" w:cs="宋体"/>
                <w:color w:val="000000"/>
                <w:sz w:val="24"/>
              </w:rPr>
            </w:pPr>
            <w:r>
              <w:rPr>
                <w:rFonts w:hint="eastAsia" w:ascii="仿宋_GB2312" w:hAnsi="宋体" w:eastAsia="仿宋_GB2312" w:cs="宋体"/>
                <w:color w:val="000000"/>
                <w:sz w:val="24"/>
              </w:rPr>
              <w:t>深圳恒博物业管理有限公司（安检岗）</w:t>
            </w:r>
          </w:p>
        </w:tc>
        <w:tc>
          <w:tcPr>
            <w:tcW w:w="1134" w:type="dxa"/>
            <w:vAlign w:val="center"/>
          </w:tcPr>
          <w:p w14:paraId="47774F9E">
            <w:pPr>
              <w:jc w:val="center"/>
              <w:rPr>
                <w:rFonts w:ascii="仿宋_GB2312" w:hAnsi="宋体" w:eastAsia="仿宋_GB2312" w:cs="宋体"/>
                <w:color w:val="000000"/>
                <w:sz w:val="24"/>
              </w:rPr>
            </w:pPr>
            <w:r>
              <w:rPr>
                <w:rFonts w:hint="eastAsia" w:ascii="仿宋_GB2312" w:hAnsi="宋体" w:eastAsia="仿宋_GB2312" w:cs="宋体"/>
                <w:color w:val="000000"/>
                <w:sz w:val="24"/>
              </w:rPr>
              <w:t>300人</w:t>
            </w:r>
          </w:p>
        </w:tc>
        <w:tc>
          <w:tcPr>
            <w:tcW w:w="1701" w:type="dxa"/>
            <w:vAlign w:val="center"/>
          </w:tcPr>
          <w:p w14:paraId="418E00FB">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49F4E976">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60A4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61" w:type="dxa"/>
            <w:vAlign w:val="center"/>
          </w:tcPr>
          <w:p w14:paraId="548B13CE">
            <w:pPr>
              <w:jc w:val="center"/>
              <w:rPr>
                <w:rFonts w:ascii="仿宋_GB2312" w:hAnsi="宋体" w:eastAsia="仿宋_GB2312" w:cs="宋体"/>
                <w:color w:val="000000"/>
                <w:sz w:val="24"/>
              </w:rPr>
            </w:pPr>
            <w:r>
              <w:rPr>
                <w:rFonts w:hint="eastAsia" w:ascii="仿宋_GB2312" w:hAnsi="宋体" w:eastAsia="仿宋_GB2312" w:cs="宋体"/>
                <w:color w:val="000000"/>
                <w:sz w:val="24"/>
              </w:rPr>
              <w:t>4</w:t>
            </w:r>
          </w:p>
        </w:tc>
        <w:tc>
          <w:tcPr>
            <w:tcW w:w="2424" w:type="dxa"/>
            <w:vAlign w:val="center"/>
          </w:tcPr>
          <w:p w14:paraId="20C39B75">
            <w:pPr>
              <w:jc w:val="center"/>
              <w:rPr>
                <w:rFonts w:ascii="仿宋_GB2312" w:hAnsi="宋体" w:eastAsia="仿宋_GB2312" w:cs="宋体"/>
                <w:color w:val="000000"/>
                <w:sz w:val="24"/>
              </w:rPr>
            </w:pPr>
            <w:r>
              <w:rPr>
                <w:rFonts w:hint="eastAsia" w:ascii="仿宋_GB2312" w:hAnsi="宋体" w:eastAsia="仿宋_GB2312" w:cs="宋体"/>
                <w:color w:val="000000"/>
                <w:sz w:val="24"/>
              </w:rPr>
              <w:t>VIVO集团</w:t>
            </w:r>
          </w:p>
        </w:tc>
        <w:tc>
          <w:tcPr>
            <w:tcW w:w="1134" w:type="dxa"/>
            <w:vAlign w:val="center"/>
          </w:tcPr>
          <w:p w14:paraId="7D1E8635">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14:paraId="025D896D">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2D12D41F">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00EC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14:paraId="39B2C09A">
            <w:pPr>
              <w:jc w:val="center"/>
              <w:rPr>
                <w:rFonts w:ascii="仿宋_GB2312" w:hAnsi="宋体" w:eastAsia="仿宋_GB2312" w:cs="宋体"/>
                <w:color w:val="000000"/>
                <w:sz w:val="24"/>
              </w:rPr>
            </w:pPr>
            <w:r>
              <w:rPr>
                <w:rFonts w:hint="eastAsia" w:ascii="仿宋_GB2312" w:hAnsi="宋体" w:eastAsia="仿宋_GB2312" w:cs="宋体"/>
                <w:color w:val="000000"/>
                <w:sz w:val="24"/>
              </w:rPr>
              <w:t>5</w:t>
            </w:r>
          </w:p>
        </w:tc>
        <w:tc>
          <w:tcPr>
            <w:tcW w:w="2424" w:type="dxa"/>
            <w:vAlign w:val="center"/>
          </w:tcPr>
          <w:p w14:paraId="0C4C4B62">
            <w:pPr>
              <w:jc w:val="center"/>
              <w:rPr>
                <w:rFonts w:ascii="仿宋_GB2312" w:hAnsi="宋体" w:eastAsia="仿宋_GB2312" w:cs="宋体"/>
                <w:color w:val="000000"/>
                <w:sz w:val="24"/>
              </w:rPr>
            </w:pPr>
            <w:r>
              <w:rPr>
                <w:rFonts w:hint="eastAsia" w:ascii="仿宋_GB2312" w:hAnsi="宋体" w:eastAsia="仿宋_GB2312" w:cs="宋体"/>
                <w:color w:val="000000"/>
                <w:sz w:val="24"/>
              </w:rPr>
              <w:t>深圳市龙岗区保安服务公司</w:t>
            </w:r>
          </w:p>
        </w:tc>
        <w:tc>
          <w:tcPr>
            <w:tcW w:w="1134" w:type="dxa"/>
            <w:vAlign w:val="center"/>
          </w:tcPr>
          <w:p w14:paraId="757EA245">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14:paraId="6E5289E7">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1ADF2BCC">
            <w:pPr>
              <w:jc w:val="left"/>
              <w:rPr>
                <w:rFonts w:ascii="仿宋_GB2312" w:hAnsi="宋体" w:eastAsia="仿宋_GB2312" w:cs="宋体"/>
                <w:color w:val="000000"/>
                <w:sz w:val="24"/>
              </w:rPr>
            </w:pPr>
            <w:r>
              <w:rPr>
                <w:rFonts w:hint="eastAsia" w:ascii="仿宋_GB2312" w:hAnsi="宋体" w:eastAsia="仿宋_GB2312" w:cs="宋体"/>
                <w:color w:val="000000"/>
                <w:sz w:val="24"/>
              </w:rPr>
              <w:t>跟岗实习、顶岗实习、师资培训、教师挂职、企业培训、活动运作、专业共建</w:t>
            </w:r>
          </w:p>
        </w:tc>
      </w:tr>
      <w:tr w14:paraId="31B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14:paraId="3073BCD2">
            <w:pPr>
              <w:jc w:val="center"/>
              <w:rPr>
                <w:rFonts w:ascii="仿宋_GB2312" w:hAnsi="宋体" w:eastAsia="仿宋_GB2312" w:cs="宋体"/>
                <w:color w:val="000000"/>
                <w:sz w:val="24"/>
              </w:rPr>
            </w:pPr>
            <w:r>
              <w:rPr>
                <w:rFonts w:hint="eastAsia" w:ascii="仿宋_GB2312" w:hAnsi="宋体" w:eastAsia="仿宋_GB2312" w:cs="宋体"/>
                <w:color w:val="000000"/>
                <w:sz w:val="24"/>
              </w:rPr>
              <w:t>6</w:t>
            </w:r>
          </w:p>
        </w:tc>
        <w:tc>
          <w:tcPr>
            <w:tcW w:w="2424" w:type="dxa"/>
            <w:vAlign w:val="center"/>
          </w:tcPr>
          <w:p w14:paraId="3CBA7D7E">
            <w:pPr>
              <w:jc w:val="center"/>
              <w:rPr>
                <w:rFonts w:ascii="仿宋_GB2312" w:hAnsi="宋体" w:eastAsia="仿宋_GB2312" w:cs="宋体"/>
                <w:color w:val="000000"/>
                <w:sz w:val="24"/>
              </w:rPr>
            </w:pPr>
            <w:r>
              <w:rPr>
                <w:rFonts w:hint="eastAsia" w:ascii="仿宋_GB2312" w:hAnsi="宋体" w:eastAsia="仿宋_GB2312" w:cs="宋体"/>
                <w:color w:val="000000"/>
                <w:sz w:val="24"/>
              </w:rPr>
              <w:t>北京能源集团</w:t>
            </w:r>
          </w:p>
        </w:tc>
        <w:tc>
          <w:tcPr>
            <w:tcW w:w="1134" w:type="dxa"/>
            <w:vAlign w:val="center"/>
          </w:tcPr>
          <w:p w14:paraId="614BE864">
            <w:pPr>
              <w:jc w:val="center"/>
              <w:rPr>
                <w:rFonts w:ascii="仿宋_GB2312" w:hAnsi="宋体" w:eastAsia="仿宋_GB2312" w:cs="宋体"/>
                <w:color w:val="000000"/>
                <w:sz w:val="24"/>
              </w:rPr>
            </w:pPr>
            <w:r>
              <w:rPr>
                <w:rFonts w:hint="eastAsia" w:ascii="仿宋_GB2312" w:hAnsi="宋体" w:eastAsia="仿宋_GB2312" w:cs="宋体"/>
                <w:color w:val="000000"/>
                <w:sz w:val="24"/>
              </w:rPr>
              <w:t>100人</w:t>
            </w:r>
          </w:p>
        </w:tc>
        <w:tc>
          <w:tcPr>
            <w:tcW w:w="1701" w:type="dxa"/>
            <w:vAlign w:val="center"/>
          </w:tcPr>
          <w:p w14:paraId="18A620FD">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1FB93391">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0B42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14:paraId="0D81E61B">
            <w:pPr>
              <w:jc w:val="center"/>
              <w:rPr>
                <w:rFonts w:ascii="仿宋_GB2312" w:hAnsi="宋体" w:eastAsia="仿宋_GB2312" w:cs="宋体"/>
                <w:color w:val="000000"/>
                <w:sz w:val="24"/>
              </w:rPr>
            </w:pPr>
            <w:r>
              <w:rPr>
                <w:rFonts w:hint="eastAsia" w:ascii="仿宋_GB2312" w:hAnsi="宋体" w:eastAsia="仿宋_GB2312" w:cs="宋体"/>
                <w:color w:val="000000"/>
                <w:sz w:val="24"/>
              </w:rPr>
              <w:t>7</w:t>
            </w:r>
          </w:p>
        </w:tc>
        <w:tc>
          <w:tcPr>
            <w:tcW w:w="2424" w:type="dxa"/>
            <w:vAlign w:val="center"/>
          </w:tcPr>
          <w:p w14:paraId="724C530D">
            <w:pPr>
              <w:jc w:val="center"/>
              <w:rPr>
                <w:rFonts w:ascii="仿宋_GB2312" w:hAnsi="宋体" w:eastAsia="仿宋_GB2312" w:cs="宋体"/>
                <w:color w:val="000000"/>
                <w:sz w:val="24"/>
              </w:rPr>
            </w:pPr>
            <w:r>
              <w:rPr>
                <w:rFonts w:hint="eastAsia" w:ascii="仿宋_GB2312" w:hAnsi="宋体" w:eastAsia="仿宋_GB2312" w:cs="宋体"/>
                <w:color w:val="000000"/>
                <w:sz w:val="24"/>
              </w:rPr>
              <w:t>北京恒安卫士地铁安检公司（南宁1号线、广州1号线、8号线、2号线、广佛线、深圳3号线、4号线等）</w:t>
            </w:r>
          </w:p>
        </w:tc>
        <w:tc>
          <w:tcPr>
            <w:tcW w:w="1134" w:type="dxa"/>
            <w:vAlign w:val="center"/>
          </w:tcPr>
          <w:p w14:paraId="049F7D6C">
            <w:pPr>
              <w:jc w:val="center"/>
              <w:rPr>
                <w:rFonts w:ascii="仿宋_GB2312" w:hAnsi="宋体" w:eastAsia="仿宋_GB2312" w:cs="宋体"/>
                <w:color w:val="000000"/>
                <w:sz w:val="24"/>
              </w:rPr>
            </w:pPr>
            <w:r>
              <w:rPr>
                <w:rFonts w:hint="eastAsia" w:ascii="仿宋_GB2312" w:hAnsi="宋体" w:eastAsia="仿宋_GB2312" w:cs="宋体"/>
                <w:color w:val="000000"/>
                <w:sz w:val="24"/>
              </w:rPr>
              <w:t>600人</w:t>
            </w:r>
          </w:p>
        </w:tc>
        <w:tc>
          <w:tcPr>
            <w:tcW w:w="1701" w:type="dxa"/>
            <w:vAlign w:val="center"/>
          </w:tcPr>
          <w:p w14:paraId="30E94F97">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1E767697">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r w14:paraId="0C0A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1" w:type="dxa"/>
            <w:vAlign w:val="center"/>
          </w:tcPr>
          <w:p w14:paraId="6825ACD7">
            <w:pPr>
              <w:jc w:val="center"/>
              <w:rPr>
                <w:rFonts w:ascii="仿宋_GB2312" w:hAnsi="宋体" w:eastAsia="仿宋_GB2312" w:cs="宋体"/>
                <w:color w:val="000000"/>
                <w:sz w:val="24"/>
              </w:rPr>
            </w:pPr>
            <w:r>
              <w:rPr>
                <w:rFonts w:hint="eastAsia" w:ascii="仿宋_GB2312" w:hAnsi="宋体" w:eastAsia="仿宋_GB2312" w:cs="宋体"/>
                <w:color w:val="000000"/>
                <w:sz w:val="24"/>
              </w:rPr>
              <w:t>8</w:t>
            </w:r>
          </w:p>
        </w:tc>
        <w:tc>
          <w:tcPr>
            <w:tcW w:w="2424" w:type="dxa"/>
            <w:vAlign w:val="center"/>
          </w:tcPr>
          <w:p w14:paraId="02C11CE6">
            <w:pPr>
              <w:jc w:val="center"/>
              <w:rPr>
                <w:rFonts w:ascii="仿宋_GB2312" w:hAnsi="宋体" w:eastAsia="仿宋_GB2312" w:cs="宋体"/>
                <w:color w:val="000000"/>
                <w:sz w:val="24"/>
              </w:rPr>
            </w:pPr>
            <w:r>
              <w:rPr>
                <w:rFonts w:hint="eastAsia" w:ascii="仿宋_GB2312" w:hAnsi="宋体" w:eastAsia="仿宋_GB2312" w:cs="宋体"/>
                <w:color w:val="000000"/>
                <w:sz w:val="24"/>
              </w:rPr>
              <w:t>南宁铁路客运段（从南宁发车的各线路）</w:t>
            </w:r>
          </w:p>
        </w:tc>
        <w:tc>
          <w:tcPr>
            <w:tcW w:w="1134" w:type="dxa"/>
            <w:vAlign w:val="center"/>
          </w:tcPr>
          <w:p w14:paraId="0E4D9032">
            <w:pPr>
              <w:jc w:val="center"/>
              <w:rPr>
                <w:rFonts w:ascii="仿宋_GB2312" w:hAnsi="宋体" w:eastAsia="仿宋_GB2312" w:cs="宋体"/>
                <w:color w:val="000000"/>
                <w:sz w:val="24"/>
              </w:rPr>
            </w:pPr>
            <w:r>
              <w:rPr>
                <w:rFonts w:hint="eastAsia" w:ascii="仿宋_GB2312" w:hAnsi="宋体" w:eastAsia="仿宋_GB2312" w:cs="宋体"/>
                <w:color w:val="000000"/>
                <w:sz w:val="24"/>
              </w:rPr>
              <w:t>200人</w:t>
            </w:r>
          </w:p>
        </w:tc>
        <w:tc>
          <w:tcPr>
            <w:tcW w:w="1701" w:type="dxa"/>
            <w:vAlign w:val="center"/>
          </w:tcPr>
          <w:p w14:paraId="78E9569A">
            <w:pPr>
              <w:jc w:val="center"/>
              <w:rPr>
                <w:rFonts w:ascii="仿宋_GB2312" w:hAnsi="宋体" w:eastAsia="仿宋_GB2312" w:cs="宋体"/>
                <w:color w:val="000000"/>
                <w:sz w:val="24"/>
              </w:rPr>
            </w:pPr>
            <w:r>
              <w:rPr>
                <w:rFonts w:hint="eastAsia" w:ascii="仿宋_GB2312" w:hAnsi="宋体" w:eastAsia="仿宋_GB2312" w:cs="宋体"/>
                <w:color w:val="000000"/>
                <w:sz w:val="24"/>
              </w:rPr>
              <w:t>签约,实训基地</w:t>
            </w:r>
          </w:p>
        </w:tc>
        <w:tc>
          <w:tcPr>
            <w:tcW w:w="3260" w:type="dxa"/>
            <w:vAlign w:val="center"/>
          </w:tcPr>
          <w:p w14:paraId="71B29899">
            <w:pPr>
              <w:jc w:val="left"/>
              <w:rPr>
                <w:rFonts w:ascii="仿宋_GB2312" w:hAnsi="宋体" w:eastAsia="仿宋_GB2312" w:cs="宋体"/>
                <w:color w:val="000000"/>
                <w:sz w:val="24"/>
              </w:rPr>
            </w:pPr>
            <w:r>
              <w:rPr>
                <w:rFonts w:hint="eastAsia" w:ascii="仿宋_GB2312" w:hAnsi="宋体" w:eastAsia="仿宋_GB2312" w:cs="宋体"/>
                <w:color w:val="000000"/>
                <w:sz w:val="24"/>
              </w:rPr>
              <w:t>顶岗实习、集中实习、师资培训、教师挂职、企业培训、活动运作、专业共建</w:t>
            </w:r>
          </w:p>
        </w:tc>
      </w:tr>
    </w:tbl>
    <w:p w14:paraId="5F5EB939">
      <w:pPr>
        <w:spacing w:line="560" w:lineRule="exact"/>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lang w:val="en-US" w:eastAsia="zh-CN"/>
        </w:rPr>
        <w:t>三</w:t>
      </w: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rPr>
        <w:t>教学方法</w:t>
      </w:r>
    </w:p>
    <w:p w14:paraId="56CDA5EC">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公共基础课程教学要符合教育部有关教育教学基本要求，按照培养学生基本科学文化素养、服务学生专业学习和终身发展的功能来定位，重在从素质养成的角度来把握职业教育的德育与文化知识教学本质，以“做中学、做中教”为基本形态，在教学方法、教学手段、教学模式及教学组织形式上进行改革创新，为学生综合素质的提高、职业能力的形成和可持续发展奠定基础。</w:t>
      </w:r>
    </w:p>
    <w:p w14:paraId="568468E2">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lang w:val="en-US" w:eastAsia="zh-CN"/>
        </w:rPr>
        <w:t>四</w:t>
      </w: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rPr>
        <w:t>学习评价</w:t>
      </w:r>
    </w:p>
    <w:p w14:paraId="6EB94B17">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基于运动训练专业建设标准，制定评价主体由学校、学生、用人单位三方构成的，评价内容涵盖了毕业生就业率及就业质量、专业综合实践教学质量、专兼职教师教学质量等专业综合实践教学及毕业环节等过程性评价标准，形成工学结合人才培养模式下多元化教学质量评价标准体系。</w:t>
      </w:r>
    </w:p>
    <w:p w14:paraId="192F8A81">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1.理论学习效果评价方式</w:t>
      </w:r>
    </w:p>
    <w:p w14:paraId="3CB44A93">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针对这种情况，本专业的各门主要专业课在评价方式上采取了灵活多样的方式，主要包括：笔试、作业、课堂提问、课堂出勤、上机操作考核以及参加各类型专业技能大赛成绩等。 </w:t>
      </w:r>
    </w:p>
    <w:p w14:paraId="25F9D8D9">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2.学习效果评价方式</w:t>
      </w:r>
    </w:p>
    <w:p w14:paraId="11076138">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eastAsia="仿宋_GB2312"/>
          <w:b/>
          <w:bCs/>
          <w:color w:val="000000"/>
          <w:sz w:val="32"/>
          <w:szCs w:val="32"/>
          <w:lang w:eastAsia="zh-CN"/>
        </w:rPr>
        <w:t>（</w:t>
      </w:r>
      <w:r>
        <w:rPr>
          <w:rFonts w:hint="eastAsia" w:ascii="宋体" w:hAnsi="宋体" w:eastAsia="仿宋_GB2312"/>
          <w:b/>
          <w:bCs/>
          <w:color w:val="000000"/>
          <w:sz w:val="32"/>
          <w:szCs w:val="32"/>
          <w:lang w:val="en-US" w:eastAsia="zh-CN"/>
        </w:rPr>
        <w:t>1</w:t>
      </w:r>
      <w:r>
        <w:rPr>
          <w:rFonts w:hint="eastAsia" w:ascii="宋体" w:hAnsi="宋体" w:eastAsia="仿宋_GB2312"/>
          <w:b/>
          <w:bCs/>
          <w:color w:val="000000"/>
          <w:sz w:val="32"/>
          <w:szCs w:val="32"/>
          <w:lang w:eastAsia="zh-CN"/>
        </w:rPr>
        <w:t>）</w:t>
      </w:r>
      <w:r>
        <w:rPr>
          <w:rFonts w:hint="eastAsia" w:ascii="仿宋_GB2312" w:hAnsi="黑体" w:eastAsia="仿宋_GB2312"/>
          <w:b/>
          <w:bCs/>
          <w:color w:val="000000"/>
          <w:sz w:val="32"/>
          <w:szCs w:val="32"/>
        </w:rPr>
        <w:t>实习（实训）评价</w:t>
      </w:r>
    </w:p>
    <w:p w14:paraId="1C02B20C">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采用实习报告与实践实际水平相结合、多种实习（实训）项目备选考核、实习（实训）项目熟练程度考核等形式，如实反映学生对各项实习（实训）项目的技能水平。</w:t>
      </w:r>
    </w:p>
    <w:p w14:paraId="6B9BC9EA">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eastAsia="仿宋_GB2312"/>
          <w:b/>
          <w:bCs/>
          <w:color w:val="000000"/>
          <w:sz w:val="32"/>
          <w:szCs w:val="32"/>
          <w:lang w:eastAsia="zh-CN"/>
        </w:rPr>
        <w:t>（</w:t>
      </w:r>
      <w:r>
        <w:rPr>
          <w:rFonts w:hint="eastAsia" w:ascii="宋体" w:hAnsi="宋体" w:eastAsia="仿宋_GB2312"/>
          <w:b/>
          <w:bCs/>
          <w:color w:val="000000"/>
          <w:sz w:val="32"/>
          <w:szCs w:val="32"/>
          <w:lang w:val="en-US" w:eastAsia="zh-CN"/>
        </w:rPr>
        <w:t>2</w:t>
      </w:r>
      <w:r>
        <w:rPr>
          <w:rFonts w:hint="eastAsia" w:ascii="宋体" w:hAnsi="宋体" w:eastAsia="仿宋_GB2312"/>
          <w:b/>
          <w:bCs/>
          <w:color w:val="000000"/>
          <w:sz w:val="32"/>
          <w:szCs w:val="32"/>
          <w:lang w:eastAsia="zh-CN"/>
        </w:rPr>
        <w:t>）</w:t>
      </w:r>
      <w:r>
        <w:rPr>
          <w:rFonts w:hint="eastAsia" w:ascii="仿宋_GB2312" w:hAnsi="黑体" w:eastAsia="仿宋_GB2312"/>
          <w:b/>
          <w:bCs/>
          <w:color w:val="000000"/>
          <w:sz w:val="32"/>
          <w:szCs w:val="32"/>
        </w:rPr>
        <w:t>顶岗实习评价</w:t>
      </w:r>
    </w:p>
    <w:p w14:paraId="5900F22B">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顶岗实习考核方面包括实习日志、实习报告、实习单位综合评价鉴定等多层次、多方面的评价方式。</w:t>
      </w:r>
    </w:p>
    <w:p w14:paraId="2A837864">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学生的能力水平评价一般安排在第六学期进行，每位学生只进行一次评价。在评价时成绩的计算公式为：课程平均理论考试成绩×50%+平均实训考核成绩×30%+顶岗实习成绩×20%，所得结果即反映学生能力水平，90分以上为优秀，80-89分为良好，70-79分为中等，60-69分为合格，60分以下为不合格。评定结果由教研室或教研组计入学生学籍档案。</w:t>
      </w:r>
    </w:p>
    <w:p w14:paraId="7C73BEAF">
      <w:pPr>
        <w:spacing w:line="360" w:lineRule="auto"/>
        <w:ind w:firstLine="643" w:firstLineChars="200"/>
        <w:outlineLvl w:val="0"/>
        <w:rPr>
          <w:rFonts w:hint="eastAsia" w:ascii="仿宋_GB2312" w:hAnsi="黑体" w:eastAsia="仿宋_GB2312"/>
          <w:b/>
          <w:bCs/>
          <w:color w:val="000000"/>
          <w:sz w:val="32"/>
          <w:szCs w:val="32"/>
          <w:lang w:val="en-US" w:eastAsia="zh-CN"/>
        </w:rPr>
      </w:pP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lang w:val="en-US" w:eastAsia="zh-CN"/>
        </w:rPr>
        <w:t>五</w:t>
      </w: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rPr>
        <w:t>质量</w:t>
      </w:r>
      <w:r>
        <w:rPr>
          <w:rFonts w:hint="eastAsia" w:ascii="仿宋_GB2312" w:hAnsi="黑体" w:eastAsia="仿宋_GB2312"/>
          <w:b/>
          <w:bCs/>
          <w:color w:val="000000"/>
          <w:sz w:val="32"/>
          <w:szCs w:val="32"/>
          <w:lang w:val="en-US" w:eastAsia="zh-CN"/>
        </w:rPr>
        <w:t>保障</w:t>
      </w:r>
    </w:p>
    <w:p w14:paraId="35578280">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注重教学全程控制，确保记录完整，根据发生的质量问题，及时发现和解决课堂教学中的问题，总结推广先进经验，改进教学质量管理的方法，不断促进课堂教学质量的提高。</w:t>
      </w:r>
    </w:p>
    <w:p w14:paraId="3D87DC66">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实训教学前指导教师必须认真制定实训计划，并做好实训前的准备（包括设备检查、材料准备等）。实训指导教师须先到班级向全体学生讲清实训目标、实训任务、要求、纪律及注意事项，然后有组织地带领学生进入实训场地。</w:t>
      </w:r>
    </w:p>
    <w:p w14:paraId="39EE0E14">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实训过程中指导教师要悉心指导，严格要求。对违规操作、不守实训纪律的学生指导教师要及时批评教育。指导教师要精心指导学生完成实训报告，并在该项目实训结束前认真进行实训总结、评价学生优劣，并认真进行实训成绩考核。以校企合作、工学结合为载体，强化实践性训练，提高学生的实践技能。</w:t>
      </w:r>
    </w:p>
    <w:p w14:paraId="47B78736">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rPr>
        <w:t>九、毕业要求</w:t>
      </w:r>
    </w:p>
    <w:p w14:paraId="36B96646">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学生必须参加培养方案中教学进程的每个教学环节的学习与实践实习，必修课程和所选修课程的期评成绩及格，方可毕业。</w:t>
      </w:r>
    </w:p>
    <w:p w14:paraId="59AF7FA5">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lang w:eastAsia="zh-CN"/>
        </w:rPr>
        <w:t>（</w:t>
      </w:r>
      <w:r>
        <w:rPr>
          <w:rFonts w:hint="eastAsia" w:ascii="仿宋_GB2312" w:hAnsi="宋体" w:eastAsia="仿宋_GB2312"/>
          <w:b/>
          <w:bCs/>
          <w:color w:val="000000"/>
          <w:sz w:val="32"/>
          <w:szCs w:val="32"/>
          <w:lang w:val="en-US" w:eastAsia="zh-CN"/>
        </w:rPr>
        <w:t>1</w:t>
      </w:r>
      <w:r>
        <w:rPr>
          <w:rFonts w:hint="eastAsia" w:ascii="仿宋_GB2312" w:hAnsi="宋体" w:eastAsia="仿宋_GB2312"/>
          <w:b/>
          <w:bCs/>
          <w:color w:val="000000"/>
          <w:sz w:val="32"/>
          <w:szCs w:val="32"/>
          <w:lang w:eastAsia="zh-CN"/>
        </w:rPr>
        <w:t>）</w:t>
      </w:r>
      <w:r>
        <w:rPr>
          <w:rFonts w:hint="eastAsia" w:ascii="仿宋_GB2312" w:hAnsi="宋体" w:eastAsia="仿宋_GB2312"/>
          <w:b/>
          <w:bCs/>
          <w:color w:val="000000"/>
          <w:sz w:val="32"/>
          <w:szCs w:val="32"/>
        </w:rPr>
        <w:t>顶岗实习</w:t>
      </w:r>
    </w:p>
    <w:p w14:paraId="5D946576">
      <w:pPr>
        <w:spacing w:line="360" w:lineRule="auto"/>
        <w:ind w:firstLine="640" w:firstLineChars="200"/>
        <w:outlineLvl w:val="0"/>
        <w:rPr>
          <w:rFonts w:ascii="仿宋_GB2312" w:hAnsi="宋体" w:eastAsia="仿宋_GB2312"/>
          <w:bCs/>
          <w:color w:val="000000"/>
          <w:sz w:val="32"/>
          <w:szCs w:val="32"/>
        </w:rPr>
      </w:pPr>
      <w:r>
        <w:rPr>
          <w:rFonts w:hint="eastAsia" w:ascii="仿宋_GB2312" w:hAnsi="宋体" w:eastAsia="仿宋_GB2312"/>
          <w:bCs/>
          <w:color w:val="000000"/>
          <w:sz w:val="32"/>
          <w:szCs w:val="32"/>
        </w:rPr>
        <w:t>顶岗实习成绩考核按“学生实习成绩考核评分标准”考核。</w:t>
      </w:r>
    </w:p>
    <w:p w14:paraId="304799A9">
      <w:pPr>
        <w:spacing w:line="360" w:lineRule="auto"/>
        <w:ind w:firstLine="643" w:firstLineChars="200"/>
        <w:outlineLvl w:val="0"/>
        <w:rPr>
          <w:rFonts w:ascii="仿宋_GB2312" w:hAnsi="宋体" w:eastAsia="仿宋_GB2312"/>
          <w:b/>
          <w:bCs/>
          <w:color w:val="000000"/>
          <w:sz w:val="32"/>
          <w:szCs w:val="32"/>
        </w:rPr>
      </w:pPr>
      <w:r>
        <w:rPr>
          <w:rFonts w:hint="eastAsia" w:ascii="仿宋_GB2312" w:hAnsi="宋体" w:eastAsia="仿宋_GB2312"/>
          <w:b/>
          <w:bCs/>
          <w:color w:val="000000"/>
          <w:sz w:val="32"/>
          <w:szCs w:val="32"/>
          <w:lang w:eastAsia="zh-CN"/>
        </w:rPr>
        <w:t>（</w:t>
      </w:r>
      <w:r>
        <w:rPr>
          <w:rFonts w:hint="eastAsia" w:ascii="仿宋_GB2312" w:hAnsi="宋体" w:eastAsia="仿宋_GB2312"/>
          <w:b/>
          <w:bCs/>
          <w:color w:val="000000"/>
          <w:sz w:val="32"/>
          <w:szCs w:val="32"/>
          <w:lang w:val="en-US" w:eastAsia="zh-CN"/>
        </w:rPr>
        <w:t>2</w:t>
      </w:r>
      <w:r>
        <w:rPr>
          <w:rFonts w:hint="eastAsia" w:ascii="仿宋_GB2312" w:hAnsi="宋体" w:eastAsia="仿宋_GB2312"/>
          <w:b/>
          <w:bCs/>
          <w:color w:val="000000"/>
          <w:sz w:val="32"/>
          <w:szCs w:val="32"/>
          <w:lang w:eastAsia="zh-CN"/>
        </w:rPr>
        <w:t>）</w:t>
      </w:r>
      <w:r>
        <w:rPr>
          <w:rFonts w:hint="eastAsia" w:ascii="仿宋_GB2312" w:hAnsi="宋体" w:eastAsia="仿宋_GB2312"/>
          <w:b/>
          <w:bCs/>
          <w:color w:val="000000"/>
          <w:sz w:val="32"/>
          <w:szCs w:val="32"/>
        </w:rPr>
        <w:t>教师的巡回指导</w:t>
      </w:r>
    </w:p>
    <w:p w14:paraId="40B8935B">
      <w:pPr>
        <w:spacing w:line="360" w:lineRule="auto"/>
        <w:ind w:firstLine="640" w:firstLineChars="200"/>
        <w:outlineLvl w:val="0"/>
        <w:rPr>
          <w:rFonts w:ascii="仿宋_GB2312" w:hAnsi="宋体" w:eastAsia="仿宋_GB2312"/>
          <w:bCs/>
          <w:color w:val="000000"/>
          <w:sz w:val="32"/>
          <w:szCs w:val="32"/>
        </w:rPr>
      </w:pPr>
      <w:r>
        <w:rPr>
          <w:rFonts w:hint="eastAsia" w:ascii="仿宋_GB2312" w:hAnsi="宋体" w:eastAsia="仿宋_GB2312"/>
          <w:bCs/>
          <w:color w:val="000000"/>
          <w:sz w:val="32"/>
          <w:szCs w:val="32"/>
        </w:rPr>
        <w:t>学生的实习应该由企业技术人员和学校教师共同指导，学生相对集中的实习要求教师带队指导，对分散实习的学生进行巡回指导，巡回指导教师以专业教师为主，一般两人组成指导组开展巡回指导活动，解决学生在实习中遇到的问题。</w:t>
      </w:r>
    </w:p>
    <w:p w14:paraId="26B3C38B">
      <w:pPr>
        <w:spacing w:line="360" w:lineRule="auto"/>
        <w:ind w:firstLine="643" w:firstLineChars="200"/>
        <w:outlineLvl w:val="0"/>
        <w:rPr>
          <w:rFonts w:ascii="仿宋_GB2312" w:hAnsi="黑体" w:eastAsia="仿宋_GB2312"/>
          <w:b/>
          <w:bCs/>
          <w:color w:val="000000"/>
          <w:sz w:val="32"/>
          <w:szCs w:val="32"/>
        </w:rPr>
      </w:pPr>
      <w:r>
        <w:rPr>
          <w:rFonts w:hint="eastAsia" w:ascii="宋体" w:hAnsi="宋体" w:eastAsia="仿宋_GB2312"/>
          <w:b/>
          <w:bCs/>
          <w:color w:val="000000"/>
          <w:sz w:val="32"/>
          <w:szCs w:val="32"/>
          <w:lang w:eastAsia="zh-CN"/>
        </w:rPr>
        <w:t>（</w:t>
      </w:r>
      <w:r>
        <w:rPr>
          <w:rFonts w:hint="eastAsia" w:ascii="宋体" w:hAnsi="宋体" w:eastAsia="仿宋_GB2312"/>
          <w:b/>
          <w:bCs/>
          <w:color w:val="000000"/>
          <w:sz w:val="32"/>
          <w:szCs w:val="32"/>
          <w:lang w:val="en-US" w:eastAsia="zh-CN"/>
        </w:rPr>
        <w:t>3</w:t>
      </w:r>
      <w:r>
        <w:rPr>
          <w:rFonts w:hint="eastAsia" w:ascii="宋体" w:hAnsi="宋体" w:eastAsia="仿宋_GB2312"/>
          <w:b/>
          <w:bCs/>
          <w:color w:val="000000"/>
          <w:sz w:val="32"/>
          <w:szCs w:val="32"/>
          <w:lang w:eastAsia="zh-CN"/>
        </w:rPr>
        <w:t>）</w:t>
      </w:r>
      <w:r>
        <w:rPr>
          <w:rFonts w:hint="eastAsia" w:ascii="仿宋_GB2312" w:hAnsi="黑体" w:eastAsia="仿宋_GB2312"/>
          <w:b/>
          <w:bCs/>
          <w:color w:val="000000"/>
          <w:sz w:val="32"/>
          <w:szCs w:val="32"/>
        </w:rPr>
        <w:t>毕业实习鉴定</w:t>
      </w:r>
    </w:p>
    <w:p w14:paraId="750564EE">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毕业实习鉴定按“桂林机电职业技术学校学生毕业实习鉴定表”完成。</w:t>
      </w:r>
    </w:p>
    <w:p w14:paraId="7AF91947">
      <w:pPr>
        <w:spacing w:line="360" w:lineRule="auto"/>
        <w:ind w:firstLine="643" w:firstLineChars="200"/>
        <w:outlineLvl w:val="0"/>
        <w:rPr>
          <w:rFonts w:ascii="仿宋_GB2312" w:hAnsi="黑体" w:eastAsia="仿宋_GB2312"/>
          <w:b/>
          <w:bCs/>
          <w:color w:val="000000"/>
          <w:sz w:val="32"/>
          <w:szCs w:val="32"/>
        </w:rPr>
      </w:pPr>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lang w:val="en-US" w:eastAsia="zh-CN"/>
        </w:rPr>
        <w:t>4</w:t>
      </w:r>
      <w:bookmarkStart w:id="5" w:name="_GoBack"/>
      <w:bookmarkEnd w:id="5"/>
      <w:r>
        <w:rPr>
          <w:rFonts w:hint="eastAsia" w:ascii="仿宋_GB2312" w:hAnsi="黑体" w:eastAsia="仿宋_GB2312"/>
          <w:b/>
          <w:bCs/>
          <w:color w:val="000000"/>
          <w:sz w:val="32"/>
          <w:szCs w:val="32"/>
          <w:lang w:eastAsia="zh-CN"/>
        </w:rPr>
        <w:t>）</w:t>
      </w:r>
      <w:r>
        <w:rPr>
          <w:rFonts w:hint="eastAsia" w:ascii="仿宋_GB2312" w:hAnsi="黑体" w:eastAsia="仿宋_GB2312"/>
          <w:b/>
          <w:bCs/>
          <w:color w:val="000000"/>
          <w:sz w:val="32"/>
          <w:szCs w:val="32"/>
        </w:rPr>
        <w:t>毕业实习日志与毕业实习报告</w:t>
      </w:r>
    </w:p>
    <w:p w14:paraId="69D0D1BB">
      <w:pPr>
        <w:spacing w:line="360" w:lineRule="auto"/>
        <w:ind w:firstLine="640" w:firstLineChars="200"/>
        <w:outlineLvl w:val="0"/>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 毕业实习期间每天填写学校统一印制的实习日志，实习结束时，书写毕业实习报告，对实习工作进行全面总结。</w:t>
      </w:r>
    </w:p>
    <w:p w14:paraId="403C2FF1">
      <w:pPr>
        <w:spacing w:line="360" w:lineRule="auto"/>
        <w:ind w:firstLine="480" w:firstLineChars="200"/>
        <w:outlineLvl w:val="0"/>
        <w:rPr>
          <w:rFonts w:ascii="仿宋_GB2312" w:hAnsi="黑体" w:eastAsia="仿宋_GB2312"/>
          <w:bCs/>
          <w:color w:val="000000"/>
          <w:sz w:val="24"/>
        </w:rPr>
        <w:sectPr>
          <w:pgSz w:w="11906" w:h="16838"/>
          <w:pgMar w:top="1418" w:right="851" w:bottom="1418" w:left="1418" w:header="851" w:footer="992" w:gutter="0"/>
          <w:pgNumType w:start="1"/>
          <w:cols w:space="720" w:num="1"/>
          <w:docGrid w:type="lines" w:linePitch="312" w:charSpace="0"/>
        </w:sectPr>
      </w:pPr>
    </w:p>
    <w:p w14:paraId="7C134A57">
      <w:pPr>
        <w:spacing w:line="360" w:lineRule="auto"/>
        <w:ind w:firstLine="480" w:firstLineChars="200"/>
        <w:outlineLvl w:val="0"/>
      </w:pPr>
      <w:r>
        <w:rPr>
          <w:rFonts w:hint="eastAsia" w:ascii="仿宋_GB2312" w:hAnsi="黑体" w:eastAsia="仿宋_GB2312"/>
          <w:b/>
          <w:bCs/>
          <w:color w:val="000000"/>
          <w:sz w:val="24"/>
        </w:rPr>
        <w:t>附录：运动训练专业人才培养方案</w:t>
      </w:r>
    </w:p>
    <w:tbl>
      <w:tblPr>
        <w:tblStyle w:val="6"/>
        <w:tblW w:w="14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896"/>
        <w:gridCol w:w="1876"/>
        <w:gridCol w:w="1225"/>
        <w:gridCol w:w="1722"/>
        <w:gridCol w:w="626"/>
        <w:gridCol w:w="1049"/>
        <w:gridCol w:w="699"/>
        <w:gridCol w:w="700"/>
        <w:gridCol w:w="699"/>
        <w:gridCol w:w="699"/>
        <w:gridCol w:w="699"/>
        <w:gridCol w:w="699"/>
        <w:gridCol w:w="699"/>
        <w:gridCol w:w="706"/>
      </w:tblGrid>
      <w:tr w14:paraId="0192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4620" w:type="dxa"/>
            <w:gridSpan w:val="15"/>
            <w:tcBorders>
              <w:top w:val="nil"/>
              <w:left w:val="nil"/>
              <w:bottom w:val="nil"/>
              <w:right w:val="nil"/>
            </w:tcBorders>
            <w:shd w:val="clear" w:color="auto" w:fill="auto"/>
            <w:noWrap/>
            <w:vAlign w:val="center"/>
          </w:tcPr>
          <w:p w14:paraId="589E851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运动训练专业教学计划</w:t>
            </w:r>
          </w:p>
        </w:tc>
      </w:tr>
      <w:tr w14:paraId="0DA8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E777E">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序号</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EA0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A42A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9B75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4D0F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课程性质</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AFC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8E29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36148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5346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EB0E">
            <w:pPr>
              <w:jc w:val="center"/>
              <w:rPr>
                <w:rFonts w:hint="eastAsia" w:ascii="仿宋" w:hAnsi="仿宋" w:eastAsia="仿宋" w:cs="仿宋"/>
                <w:b/>
                <w:bCs/>
                <w:i w:val="0"/>
                <w:iCs w:val="0"/>
                <w:color w:val="000000"/>
                <w:sz w:val="22"/>
                <w:szCs w:val="22"/>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31D3">
            <w:pPr>
              <w:jc w:val="center"/>
              <w:rPr>
                <w:rFonts w:hint="eastAsia" w:ascii="仿宋" w:hAnsi="仿宋" w:eastAsia="仿宋" w:cs="仿宋"/>
                <w:b/>
                <w:bCs/>
                <w:i w:val="0"/>
                <w:iCs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B548">
            <w:pPr>
              <w:jc w:val="center"/>
              <w:rPr>
                <w:rFonts w:hint="eastAsia" w:ascii="仿宋" w:hAnsi="仿宋" w:eastAsia="仿宋" w:cs="仿宋"/>
                <w:b/>
                <w:bCs/>
                <w:i w:val="0"/>
                <w:iCs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83F6">
            <w:pPr>
              <w:jc w:val="center"/>
              <w:rPr>
                <w:rFonts w:hint="eastAsia" w:ascii="仿宋" w:hAnsi="仿宋" w:eastAsia="仿宋" w:cs="仿宋"/>
                <w:b/>
                <w:bCs/>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0F2E">
            <w:pPr>
              <w:jc w:val="center"/>
              <w:rPr>
                <w:rFonts w:hint="eastAsia" w:ascii="仿宋" w:hAnsi="仿宋" w:eastAsia="仿宋" w:cs="仿宋"/>
                <w:b/>
                <w:bCs/>
                <w:i w:val="0"/>
                <w:iCs w:val="0"/>
                <w:color w:val="000000"/>
                <w:sz w:val="22"/>
                <w:szCs w:val="22"/>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8A12">
            <w:pPr>
              <w:jc w:val="center"/>
              <w:rPr>
                <w:rFonts w:hint="eastAsia" w:ascii="仿宋" w:hAnsi="仿宋" w:eastAsia="仿宋" w:cs="仿宋"/>
                <w:b/>
                <w:bCs/>
                <w:i w:val="0"/>
                <w:iCs w:val="0"/>
                <w:color w:val="000000"/>
                <w:sz w:val="22"/>
                <w:szCs w:val="22"/>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C8E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59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EE6F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实践学时</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C13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BF9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D4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B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A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12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4E4E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1C6F">
            <w:pPr>
              <w:jc w:val="center"/>
              <w:rPr>
                <w:rFonts w:hint="eastAsia" w:ascii="仿宋" w:hAnsi="仿宋" w:eastAsia="仿宋" w:cs="仿宋"/>
                <w:b/>
                <w:bCs/>
                <w:i w:val="0"/>
                <w:iCs w:val="0"/>
                <w:color w:val="000000"/>
                <w:sz w:val="22"/>
                <w:szCs w:val="22"/>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5656">
            <w:pPr>
              <w:jc w:val="center"/>
              <w:rPr>
                <w:rFonts w:hint="eastAsia" w:ascii="仿宋" w:hAnsi="仿宋" w:eastAsia="仿宋" w:cs="仿宋"/>
                <w:b/>
                <w:bCs/>
                <w:i w:val="0"/>
                <w:iCs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CD30">
            <w:pPr>
              <w:jc w:val="center"/>
              <w:rPr>
                <w:rFonts w:hint="eastAsia" w:ascii="仿宋" w:hAnsi="仿宋" w:eastAsia="仿宋" w:cs="仿宋"/>
                <w:b/>
                <w:bCs/>
                <w:i w:val="0"/>
                <w:iCs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8B2D">
            <w:pPr>
              <w:jc w:val="center"/>
              <w:rPr>
                <w:rFonts w:hint="eastAsia" w:ascii="仿宋" w:hAnsi="仿宋" w:eastAsia="仿宋" w:cs="仿宋"/>
                <w:b/>
                <w:bCs/>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136D">
            <w:pPr>
              <w:jc w:val="center"/>
              <w:rPr>
                <w:rFonts w:hint="eastAsia" w:ascii="仿宋" w:hAnsi="仿宋" w:eastAsia="仿宋" w:cs="仿宋"/>
                <w:b/>
                <w:bCs/>
                <w:i w:val="0"/>
                <w:iCs w:val="0"/>
                <w:color w:val="000000"/>
                <w:sz w:val="22"/>
                <w:szCs w:val="22"/>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8E42">
            <w:pPr>
              <w:jc w:val="center"/>
              <w:rPr>
                <w:rFonts w:hint="eastAsia" w:ascii="仿宋" w:hAnsi="仿宋" w:eastAsia="仿宋" w:cs="仿宋"/>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C3E7">
            <w:pPr>
              <w:jc w:val="center"/>
              <w:rPr>
                <w:rFonts w:hint="eastAsia" w:ascii="仿宋" w:hAnsi="仿宋" w:eastAsia="仿宋" w:cs="仿宋"/>
                <w:b/>
                <w:bCs/>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EF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90E6">
            <w:pPr>
              <w:jc w:val="center"/>
              <w:rPr>
                <w:rFonts w:hint="eastAsia" w:ascii="仿宋" w:hAnsi="仿宋" w:eastAsia="仿宋" w:cs="仿宋"/>
                <w:b/>
                <w:bCs/>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0BF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F6C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FC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82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0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15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4E82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0D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1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3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6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0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C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3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D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D7D6">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05C1">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BFAB">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4C5">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7711">
            <w:pPr>
              <w:jc w:val="center"/>
              <w:rPr>
                <w:rFonts w:hint="eastAsia" w:ascii="仿宋" w:hAnsi="仿宋" w:eastAsia="仿宋" w:cs="仿宋"/>
                <w:i w:val="0"/>
                <w:iCs w:val="0"/>
                <w:color w:val="000000"/>
                <w:sz w:val="22"/>
                <w:szCs w:val="22"/>
                <w:u w:val="none"/>
              </w:rPr>
            </w:pPr>
          </w:p>
        </w:tc>
      </w:tr>
      <w:tr w14:paraId="61A7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F4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EA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57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1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15CB">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2D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3F1">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D619">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FEB2">
            <w:pPr>
              <w:jc w:val="center"/>
              <w:rPr>
                <w:rFonts w:hint="eastAsia" w:ascii="仿宋" w:hAnsi="仿宋" w:eastAsia="仿宋" w:cs="仿宋"/>
                <w:i w:val="0"/>
                <w:iCs w:val="0"/>
                <w:color w:val="000000"/>
                <w:sz w:val="22"/>
                <w:szCs w:val="22"/>
                <w:u w:val="none"/>
              </w:rPr>
            </w:pPr>
          </w:p>
        </w:tc>
      </w:tr>
      <w:tr w14:paraId="353A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35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2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7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89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2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4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B20">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2C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5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73B">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688">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82B1">
            <w:pPr>
              <w:jc w:val="center"/>
              <w:rPr>
                <w:rFonts w:hint="eastAsia" w:ascii="仿宋" w:hAnsi="仿宋" w:eastAsia="仿宋" w:cs="仿宋"/>
                <w:i w:val="0"/>
                <w:iCs w:val="0"/>
                <w:color w:val="000000"/>
                <w:sz w:val="22"/>
                <w:szCs w:val="22"/>
                <w:u w:val="none"/>
              </w:rPr>
            </w:pPr>
          </w:p>
        </w:tc>
      </w:tr>
      <w:tr w14:paraId="3B10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0B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7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2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9E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6E3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2DF">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A49A">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0B39">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E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46B3">
            <w:pPr>
              <w:jc w:val="center"/>
              <w:rPr>
                <w:rFonts w:hint="eastAsia" w:ascii="仿宋" w:hAnsi="仿宋" w:eastAsia="仿宋" w:cs="仿宋"/>
                <w:i w:val="0"/>
                <w:iCs w:val="0"/>
                <w:color w:val="000000"/>
                <w:sz w:val="22"/>
                <w:szCs w:val="22"/>
                <w:u w:val="none"/>
              </w:rPr>
            </w:pPr>
          </w:p>
        </w:tc>
      </w:tr>
      <w:tr w14:paraId="2E74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B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E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73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7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0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C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9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8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5E3F">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3C5E">
            <w:pPr>
              <w:jc w:val="center"/>
              <w:rPr>
                <w:rFonts w:hint="eastAsia" w:ascii="仿宋" w:hAnsi="仿宋" w:eastAsia="仿宋" w:cs="仿宋"/>
                <w:i w:val="0"/>
                <w:iCs w:val="0"/>
                <w:color w:val="000000"/>
                <w:sz w:val="22"/>
                <w:szCs w:val="22"/>
                <w:u w:val="none"/>
              </w:rPr>
            </w:pPr>
          </w:p>
        </w:tc>
      </w:tr>
      <w:tr w14:paraId="58BC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D5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8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6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9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49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8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9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5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8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5A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A551">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EF1">
            <w:pPr>
              <w:jc w:val="center"/>
              <w:rPr>
                <w:rFonts w:hint="eastAsia" w:ascii="仿宋" w:hAnsi="仿宋" w:eastAsia="仿宋" w:cs="仿宋"/>
                <w:i w:val="0"/>
                <w:iCs w:val="0"/>
                <w:color w:val="000000"/>
                <w:sz w:val="22"/>
                <w:szCs w:val="22"/>
                <w:u w:val="none"/>
              </w:rPr>
            </w:pPr>
          </w:p>
        </w:tc>
      </w:tr>
      <w:tr w14:paraId="66FD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A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5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4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B4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4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5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65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806">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D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9C97">
            <w:pPr>
              <w:jc w:val="center"/>
              <w:rPr>
                <w:rFonts w:hint="eastAsia" w:ascii="仿宋" w:hAnsi="仿宋" w:eastAsia="仿宋" w:cs="仿宋"/>
                <w:i w:val="0"/>
                <w:iCs w:val="0"/>
                <w:color w:val="000000"/>
                <w:sz w:val="22"/>
                <w:szCs w:val="22"/>
                <w:u w:val="none"/>
              </w:rPr>
            </w:pPr>
          </w:p>
        </w:tc>
      </w:tr>
      <w:tr w14:paraId="0B28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A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7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B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6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5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1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2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2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E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3EA5">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6F7">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3775">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0B7">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2AC">
            <w:pPr>
              <w:jc w:val="center"/>
              <w:rPr>
                <w:rFonts w:hint="eastAsia" w:ascii="仿宋" w:hAnsi="仿宋" w:eastAsia="仿宋" w:cs="仿宋"/>
                <w:i w:val="0"/>
                <w:iCs w:val="0"/>
                <w:color w:val="000000"/>
                <w:sz w:val="22"/>
                <w:szCs w:val="22"/>
                <w:u w:val="none"/>
              </w:rPr>
            </w:pPr>
          </w:p>
        </w:tc>
      </w:tr>
      <w:tr w14:paraId="6BCC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8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E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3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E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7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F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B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821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07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AE57">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C77">
            <w:pPr>
              <w:jc w:val="center"/>
              <w:rPr>
                <w:rFonts w:hint="eastAsia" w:ascii="仿宋" w:hAnsi="仿宋" w:eastAsia="仿宋" w:cs="仿宋"/>
                <w:i w:val="0"/>
                <w:iCs w:val="0"/>
                <w:color w:val="000000"/>
                <w:sz w:val="22"/>
                <w:szCs w:val="22"/>
                <w:u w:val="none"/>
              </w:rPr>
            </w:pPr>
          </w:p>
        </w:tc>
      </w:tr>
      <w:tr w14:paraId="103E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E9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F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67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7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ED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B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A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9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3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FA6">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D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E90F">
            <w:pPr>
              <w:jc w:val="center"/>
              <w:rPr>
                <w:rFonts w:hint="eastAsia" w:ascii="仿宋" w:hAnsi="仿宋" w:eastAsia="仿宋" w:cs="仿宋"/>
                <w:i w:val="0"/>
                <w:iCs w:val="0"/>
                <w:color w:val="000000"/>
                <w:sz w:val="22"/>
                <w:szCs w:val="22"/>
                <w:u w:val="none"/>
              </w:rPr>
            </w:pPr>
          </w:p>
        </w:tc>
      </w:tr>
      <w:tr w14:paraId="0903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6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A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6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1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3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7275">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EB9">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D92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11">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362">
            <w:pPr>
              <w:jc w:val="center"/>
              <w:rPr>
                <w:rFonts w:hint="eastAsia" w:ascii="仿宋" w:hAnsi="仿宋" w:eastAsia="仿宋" w:cs="仿宋"/>
                <w:i w:val="0"/>
                <w:iCs w:val="0"/>
                <w:color w:val="000000"/>
                <w:sz w:val="22"/>
                <w:szCs w:val="22"/>
                <w:u w:val="none"/>
              </w:rPr>
            </w:pPr>
          </w:p>
        </w:tc>
      </w:tr>
      <w:tr w14:paraId="30D3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0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1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8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F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9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3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B4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CD1">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BB82">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0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3D3">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9C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4904">
            <w:pPr>
              <w:jc w:val="center"/>
              <w:rPr>
                <w:rFonts w:hint="eastAsia" w:ascii="仿宋" w:hAnsi="仿宋" w:eastAsia="仿宋" w:cs="仿宋"/>
                <w:i w:val="0"/>
                <w:iCs w:val="0"/>
                <w:color w:val="000000"/>
                <w:sz w:val="22"/>
                <w:szCs w:val="22"/>
                <w:u w:val="none"/>
              </w:rPr>
            </w:pPr>
          </w:p>
        </w:tc>
      </w:tr>
      <w:tr w14:paraId="50D4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B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KG14/KG15/KG16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7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劳动教育/安全教育/心理健康教育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C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2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E7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第1周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7FFD">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C95F">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E9B">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A80">
            <w:pPr>
              <w:jc w:val="center"/>
              <w:rPr>
                <w:rFonts w:hint="eastAsia" w:ascii="仿宋" w:hAnsi="仿宋" w:eastAsia="仿宋" w:cs="仿宋"/>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EC56">
            <w:pPr>
              <w:jc w:val="center"/>
              <w:rPr>
                <w:rFonts w:hint="eastAsia" w:ascii="仿宋" w:hAnsi="仿宋" w:eastAsia="仿宋" w:cs="仿宋"/>
                <w:i w:val="0"/>
                <w:iCs w:val="0"/>
                <w:color w:val="000000"/>
                <w:sz w:val="22"/>
                <w:szCs w:val="22"/>
                <w:u w:val="none"/>
              </w:rPr>
            </w:pPr>
          </w:p>
        </w:tc>
      </w:tr>
      <w:tr w14:paraId="4D5E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49F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F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1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应用文写作/传统文化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7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EE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21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AF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3D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F4D8">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E4D4">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2A9">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E498">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FB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15A">
            <w:pPr>
              <w:jc w:val="center"/>
              <w:rPr>
                <w:rFonts w:hint="eastAsia" w:ascii="仿宋" w:hAnsi="仿宋" w:eastAsia="仿宋" w:cs="仿宋"/>
                <w:i w:val="0"/>
                <w:iCs w:val="0"/>
                <w:color w:val="000000"/>
                <w:sz w:val="22"/>
                <w:szCs w:val="22"/>
                <w:u w:val="none"/>
              </w:rPr>
            </w:pPr>
          </w:p>
        </w:tc>
      </w:tr>
      <w:tr w14:paraId="78F0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F3FA">
            <w:pPr>
              <w:jc w:val="center"/>
              <w:rPr>
                <w:rFonts w:hint="eastAsia" w:ascii="宋体" w:hAnsi="宋体" w:eastAsia="宋体" w:cs="宋体"/>
                <w:i w:val="0"/>
                <w:iCs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6E4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F1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74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D4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1326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243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1120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945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1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19</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E1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17</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601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8A5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F16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70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r>
      <w:tr w14:paraId="61CA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B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8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社会体育指导员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C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3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7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974">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50AD">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9055">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45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96F8">
            <w:pPr>
              <w:jc w:val="center"/>
              <w:rPr>
                <w:rFonts w:hint="eastAsia" w:ascii="宋体" w:hAnsi="宋体" w:eastAsia="宋体" w:cs="宋体"/>
                <w:i w:val="0"/>
                <w:iCs w:val="0"/>
                <w:color w:val="000000"/>
                <w:sz w:val="22"/>
                <w:szCs w:val="22"/>
                <w:u w:val="none"/>
              </w:rPr>
            </w:pPr>
          </w:p>
        </w:tc>
      </w:tr>
      <w:tr w14:paraId="126C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9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体育社会学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4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4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1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A0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104">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BEE7">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8F4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2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235">
            <w:pPr>
              <w:jc w:val="center"/>
              <w:rPr>
                <w:rFonts w:hint="eastAsia" w:ascii="宋体" w:hAnsi="宋体" w:eastAsia="宋体" w:cs="宋体"/>
                <w:i w:val="0"/>
                <w:iCs w:val="0"/>
                <w:color w:val="000000"/>
                <w:sz w:val="22"/>
                <w:szCs w:val="22"/>
                <w:u w:val="none"/>
              </w:rPr>
            </w:pPr>
          </w:p>
        </w:tc>
      </w:tr>
      <w:tr w14:paraId="5325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6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B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运动人体科学概论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0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4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2936">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7FC">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FE4D">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34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9CCD">
            <w:pPr>
              <w:jc w:val="center"/>
              <w:rPr>
                <w:rFonts w:hint="eastAsia" w:ascii="宋体" w:hAnsi="宋体" w:eastAsia="宋体" w:cs="宋体"/>
                <w:i w:val="0"/>
                <w:iCs w:val="0"/>
                <w:color w:val="000000"/>
                <w:sz w:val="22"/>
                <w:szCs w:val="22"/>
                <w:u w:val="none"/>
              </w:rPr>
            </w:pPr>
          </w:p>
        </w:tc>
      </w:tr>
      <w:tr w14:paraId="216C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运动心理学基础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7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7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2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B3D1">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DFA7">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7D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0E1">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8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7A34">
            <w:pPr>
              <w:jc w:val="center"/>
              <w:rPr>
                <w:rFonts w:hint="eastAsia" w:ascii="宋体" w:hAnsi="宋体" w:eastAsia="宋体" w:cs="宋体"/>
                <w:i w:val="0"/>
                <w:iCs w:val="0"/>
                <w:color w:val="000000"/>
                <w:sz w:val="22"/>
                <w:szCs w:val="22"/>
                <w:u w:val="none"/>
              </w:rPr>
            </w:pPr>
          </w:p>
        </w:tc>
      </w:tr>
      <w:tr w14:paraId="3B2A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4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D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4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运动训练学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B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9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2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2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2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B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2143">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18A9">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F5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746B">
            <w:pPr>
              <w:jc w:val="center"/>
              <w:rPr>
                <w:rFonts w:hint="eastAsia" w:ascii="宋体" w:hAnsi="宋体" w:eastAsia="宋体" w:cs="宋体"/>
                <w:i w:val="0"/>
                <w:iCs w:val="0"/>
                <w:color w:val="000000"/>
                <w:sz w:val="22"/>
                <w:szCs w:val="22"/>
                <w:u w:val="none"/>
              </w:rPr>
            </w:pPr>
          </w:p>
        </w:tc>
      </w:tr>
      <w:tr w14:paraId="638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3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公共关系管理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6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E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B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B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666E">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0A73">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51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C84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1A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B683">
            <w:pPr>
              <w:jc w:val="center"/>
              <w:rPr>
                <w:rFonts w:hint="eastAsia" w:ascii="宋体" w:hAnsi="宋体" w:eastAsia="宋体" w:cs="宋体"/>
                <w:i w:val="0"/>
                <w:iCs w:val="0"/>
                <w:color w:val="000000"/>
                <w:sz w:val="22"/>
                <w:szCs w:val="22"/>
                <w:u w:val="none"/>
              </w:rPr>
            </w:pPr>
          </w:p>
        </w:tc>
      </w:tr>
      <w:tr w14:paraId="5BF0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E0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4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KHYD07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0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教育学基础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1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0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5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6F2">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CF9">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B1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E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C9F1">
            <w:pPr>
              <w:jc w:val="center"/>
              <w:rPr>
                <w:rFonts w:hint="eastAsia" w:ascii="宋体" w:hAnsi="宋体" w:eastAsia="宋体" w:cs="宋体"/>
                <w:i w:val="0"/>
                <w:iCs w:val="0"/>
                <w:color w:val="000000"/>
                <w:sz w:val="22"/>
                <w:szCs w:val="22"/>
                <w:u w:val="none"/>
              </w:rPr>
            </w:pPr>
          </w:p>
        </w:tc>
      </w:tr>
      <w:tr w14:paraId="6199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037E">
            <w:pPr>
              <w:jc w:val="center"/>
              <w:rPr>
                <w:rFonts w:hint="eastAsia" w:ascii="仿宋" w:hAnsi="仿宋" w:eastAsia="仿宋" w:cs="仿宋"/>
                <w:i w:val="0"/>
                <w:iCs w:val="0"/>
                <w:color w:val="000000"/>
                <w:sz w:val="24"/>
                <w:szCs w:val="24"/>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9D1F">
            <w:pPr>
              <w:jc w:val="center"/>
              <w:rPr>
                <w:rFonts w:hint="eastAsia" w:ascii="仿宋" w:hAnsi="仿宋" w:eastAsia="仿宋" w:cs="仿宋"/>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746">
            <w:pPr>
              <w:jc w:val="center"/>
              <w:rPr>
                <w:rFonts w:hint="eastAsia" w:ascii="仿宋" w:hAnsi="仿宋" w:eastAsia="仿宋" w:cs="仿宋"/>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229">
            <w:pPr>
              <w:jc w:val="center"/>
              <w:rPr>
                <w:rFonts w:hint="eastAsia" w:ascii="仿宋" w:hAnsi="仿宋" w:eastAsia="仿宋" w:cs="仿宋"/>
                <w:i w:val="0"/>
                <w:iCs w:val="0"/>
                <w:color w:val="000000"/>
                <w:sz w:val="24"/>
                <w:szCs w:val="24"/>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AF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79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BC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8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A9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44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44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98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02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59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7B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r>
      <w:tr w14:paraId="3072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法学概论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B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0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CE69">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4209">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8A2D">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65A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6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E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60C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民事诉讼法</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7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0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A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D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03FB">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9459">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B74">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DF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8E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03B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2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军事思想概论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2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8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1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F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C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2F5A">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0623">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0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E43F">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5A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7ECE">
            <w:pPr>
              <w:jc w:val="center"/>
              <w:rPr>
                <w:rFonts w:hint="eastAsia" w:ascii="宋体" w:hAnsi="宋体" w:eastAsia="宋体" w:cs="宋体"/>
                <w:i w:val="0"/>
                <w:iCs w:val="0"/>
                <w:color w:val="000000"/>
                <w:sz w:val="22"/>
                <w:szCs w:val="22"/>
                <w:u w:val="none"/>
              </w:rPr>
            </w:pPr>
          </w:p>
        </w:tc>
      </w:tr>
      <w:tr w14:paraId="572B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B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3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A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公民素质与现代礼仪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6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D445">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F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126">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946">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78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2A5">
            <w:pPr>
              <w:jc w:val="center"/>
              <w:rPr>
                <w:rFonts w:hint="eastAsia" w:ascii="宋体" w:hAnsi="宋体" w:eastAsia="宋体" w:cs="宋体"/>
                <w:i w:val="0"/>
                <w:iCs w:val="0"/>
                <w:color w:val="000000"/>
                <w:sz w:val="22"/>
                <w:szCs w:val="22"/>
                <w:u w:val="none"/>
              </w:rPr>
            </w:pPr>
          </w:p>
        </w:tc>
      </w:tr>
      <w:tr w14:paraId="03DA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行政学原理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0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3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4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20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ACA">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7D37">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6B2">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2328">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3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F05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6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KXYD06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8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防卫与控制技术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7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4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E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D55">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2FAD">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5959">
            <w:pPr>
              <w:jc w:val="center"/>
              <w:rPr>
                <w:rFonts w:hint="eastAsia" w:ascii="仿宋" w:hAnsi="仿宋" w:eastAsia="仿宋" w:cs="仿宋"/>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F55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F7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9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129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97B">
            <w:pPr>
              <w:jc w:val="center"/>
              <w:rPr>
                <w:rFonts w:hint="eastAsia" w:ascii="仿宋" w:hAnsi="仿宋" w:eastAsia="仿宋" w:cs="仿宋"/>
                <w:i w:val="0"/>
                <w:iCs w:val="0"/>
                <w:color w:val="000000"/>
                <w:sz w:val="24"/>
                <w:szCs w:val="24"/>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07F0">
            <w:pPr>
              <w:jc w:val="center"/>
              <w:rPr>
                <w:rFonts w:hint="eastAsia" w:ascii="仿宋" w:hAnsi="仿宋" w:eastAsia="仿宋" w:cs="仿宋"/>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282B">
            <w:pPr>
              <w:jc w:val="center"/>
              <w:rPr>
                <w:rFonts w:hint="eastAsia" w:ascii="仿宋" w:hAnsi="仿宋" w:eastAsia="仿宋" w:cs="仿宋"/>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254">
            <w:pPr>
              <w:jc w:val="center"/>
              <w:rPr>
                <w:rFonts w:hint="eastAsia" w:ascii="仿宋" w:hAnsi="仿宋" w:eastAsia="仿宋" w:cs="仿宋"/>
                <w:i w:val="0"/>
                <w:iCs w:val="0"/>
                <w:color w:val="000000"/>
                <w:sz w:val="24"/>
                <w:szCs w:val="24"/>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3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FA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E7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664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1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C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4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1F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D5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8FC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6FA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5CD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28</w:t>
            </w:r>
          </w:p>
        </w:tc>
      </w:tr>
      <w:tr w14:paraId="1822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D07">
            <w:pPr>
              <w:jc w:val="center"/>
              <w:rPr>
                <w:rFonts w:hint="eastAsia" w:ascii="仿宋" w:hAnsi="仿宋" w:eastAsia="仿宋" w:cs="仿宋"/>
                <w:i w:val="0"/>
                <w:iCs w:val="0"/>
                <w:color w:val="000000"/>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3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1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3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6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2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EA8">
            <w:pPr>
              <w:jc w:val="center"/>
              <w:rPr>
                <w:rFonts w:hint="eastAsia" w:ascii="仿宋" w:hAnsi="仿宋" w:eastAsia="仿宋" w:cs="仿宋"/>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220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92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CA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DCA7">
            <w:pPr>
              <w:jc w:val="center"/>
              <w:rPr>
                <w:rFonts w:hint="eastAsia" w:ascii="宋体" w:hAnsi="宋体" w:eastAsia="宋体" w:cs="宋体"/>
                <w:i w:val="0"/>
                <w:iCs w:val="0"/>
                <w:color w:val="000000"/>
                <w:sz w:val="22"/>
                <w:szCs w:val="22"/>
                <w:u w:val="none"/>
              </w:rPr>
            </w:pPr>
          </w:p>
        </w:tc>
      </w:tr>
      <w:tr w14:paraId="1AEF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23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1F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91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97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A4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r>
              <w:rPr>
                <w:rFonts w:hint="eastAsia" w:ascii="宋体" w:hAnsi="宋体" w:cs="宋体"/>
                <w:b/>
                <w:bCs/>
                <w:i w:val="0"/>
                <w:iCs w:val="0"/>
                <w:color w:val="000000"/>
                <w:kern w:val="0"/>
                <w:sz w:val="22"/>
                <w:szCs w:val="22"/>
                <w:u w:val="none"/>
                <w:lang w:val="en-US" w:eastAsia="zh-CN" w:bidi="ar"/>
              </w:rPr>
              <w:t>78</w:t>
            </w: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6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r>
              <w:rPr>
                <w:rFonts w:hint="eastAsia" w:ascii="宋体" w:hAnsi="宋体"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9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A2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6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r>
      <w:tr w14:paraId="4093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gridSpan w:val="15"/>
            <w:tcBorders>
              <w:top w:val="single" w:color="000000" w:sz="4" w:space="0"/>
              <w:left w:val="nil"/>
              <w:bottom w:val="nil"/>
              <w:right w:val="nil"/>
            </w:tcBorders>
            <w:shd w:val="clear" w:color="auto" w:fill="auto"/>
            <w:noWrap/>
            <w:vAlign w:val="center"/>
          </w:tcPr>
          <w:p w14:paraId="586FC762">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说明：专业基础课、专业核心课安排在前3个学期完成，专业拓展课安排在第5、6学期完成，第4学期为顶岗实训。</w:t>
            </w:r>
          </w:p>
        </w:tc>
      </w:tr>
    </w:tbl>
    <w:p w14:paraId="18529709">
      <w:pPr>
        <w:spacing w:line="360" w:lineRule="auto"/>
        <w:ind w:firstLine="420" w:firstLineChars="200"/>
        <w:outlineLvl w:val="0"/>
      </w:pPr>
    </w:p>
    <w:p w14:paraId="4E03048A">
      <w:pPr>
        <w:spacing w:line="360" w:lineRule="auto"/>
        <w:ind w:firstLine="420" w:firstLineChars="200"/>
        <w:outlineLvl w:val="0"/>
      </w:pPr>
    </w:p>
    <w:p w14:paraId="4AD3F1C5">
      <w:pPr>
        <w:spacing w:line="360" w:lineRule="auto"/>
        <w:ind w:firstLine="420" w:firstLineChars="200"/>
        <w:outlineLvl w:val="0"/>
      </w:pPr>
    </w:p>
    <w:p w14:paraId="158E3117">
      <w:pPr>
        <w:spacing w:line="360" w:lineRule="auto"/>
        <w:ind w:firstLine="420" w:firstLineChars="200"/>
        <w:outlineLvl w:val="0"/>
      </w:pPr>
    </w:p>
    <w:sectPr>
      <w:pgSz w:w="16838" w:h="11906" w:orient="landscape"/>
      <w:pgMar w:top="1418" w:right="1418" w:bottom="851"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兰亭黑简体">
    <w:altName w:val="宋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gzOTdiNDdiNWNiYjJiNDJiZjE2NjdhYjEzYmI1ZDIifQ=="/>
  </w:docVars>
  <w:rsids>
    <w:rsidRoot w:val="00DA788B"/>
    <w:rsid w:val="00021334"/>
    <w:rsid w:val="00061AB3"/>
    <w:rsid w:val="000632F4"/>
    <w:rsid w:val="00072A61"/>
    <w:rsid w:val="00077D34"/>
    <w:rsid w:val="00096A6B"/>
    <w:rsid w:val="000B2F8C"/>
    <w:rsid w:val="000C3D60"/>
    <w:rsid w:val="000E3B71"/>
    <w:rsid w:val="000E68F1"/>
    <w:rsid w:val="000F77A2"/>
    <w:rsid w:val="001176CA"/>
    <w:rsid w:val="001312C5"/>
    <w:rsid w:val="00136C7C"/>
    <w:rsid w:val="001459EE"/>
    <w:rsid w:val="00160A81"/>
    <w:rsid w:val="00163EF9"/>
    <w:rsid w:val="00165C71"/>
    <w:rsid w:val="00183368"/>
    <w:rsid w:val="0018514E"/>
    <w:rsid w:val="00195886"/>
    <w:rsid w:val="001A7A42"/>
    <w:rsid w:val="001E0638"/>
    <w:rsid w:val="001E085A"/>
    <w:rsid w:val="001F7534"/>
    <w:rsid w:val="00211A15"/>
    <w:rsid w:val="00212977"/>
    <w:rsid w:val="00212DCD"/>
    <w:rsid w:val="00224AA8"/>
    <w:rsid w:val="002271FB"/>
    <w:rsid w:val="002321B4"/>
    <w:rsid w:val="00247B91"/>
    <w:rsid w:val="002502A5"/>
    <w:rsid w:val="00251568"/>
    <w:rsid w:val="002629C6"/>
    <w:rsid w:val="00276EC4"/>
    <w:rsid w:val="00281AF3"/>
    <w:rsid w:val="002848A8"/>
    <w:rsid w:val="002B3E32"/>
    <w:rsid w:val="002B6FA3"/>
    <w:rsid w:val="002B7A49"/>
    <w:rsid w:val="002E48E4"/>
    <w:rsid w:val="003003DC"/>
    <w:rsid w:val="00312DE5"/>
    <w:rsid w:val="00322EF7"/>
    <w:rsid w:val="00323094"/>
    <w:rsid w:val="003250A8"/>
    <w:rsid w:val="003412AF"/>
    <w:rsid w:val="003432E7"/>
    <w:rsid w:val="00351C5A"/>
    <w:rsid w:val="003632CB"/>
    <w:rsid w:val="00372D9F"/>
    <w:rsid w:val="00373AA9"/>
    <w:rsid w:val="003829EA"/>
    <w:rsid w:val="003A34FC"/>
    <w:rsid w:val="003A4FFD"/>
    <w:rsid w:val="003E4048"/>
    <w:rsid w:val="003F174B"/>
    <w:rsid w:val="00401F93"/>
    <w:rsid w:val="004021FC"/>
    <w:rsid w:val="00417BA8"/>
    <w:rsid w:val="00420552"/>
    <w:rsid w:val="004209A5"/>
    <w:rsid w:val="004316FE"/>
    <w:rsid w:val="00442F0F"/>
    <w:rsid w:val="00455C32"/>
    <w:rsid w:val="00455F4B"/>
    <w:rsid w:val="00457E9C"/>
    <w:rsid w:val="004649C1"/>
    <w:rsid w:val="0046664C"/>
    <w:rsid w:val="0047618F"/>
    <w:rsid w:val="004A32FA"/>
    <w:rsid w:val="004B5188"/>
    <w:rsid w:val="004C7FA7"/>
    <w:rsid w:val="004D75D8"/>
    <w:rsid w:val="004E2400"/>
    <w:rsid w:val="004F5E33"/>
    <w:rsid w:val="004F7949"/>
    <w:rsid w:val="0051252B"/>
    <w:rsid w:val="00550DC2"/>
    <w:rsid w:val="00560510"/>
    <w:rsid w:val="00562870"/>
    <w:rsid w:val="00565DCA"/>
    <w:rsid w:val="00567DC8"/>
    <w:rsid w:val="005969EE"/>
    <w:rsid w:val="005A21FF"/>
    <w:rsid w:val="005A26F8"/>
    <w:rsid w:val="005A2757"/>
    <w:rsid w:val="005A41D9"/>
    <w:rsid w:val="005B37AE"/>
    <w:rsid w:val="005C08D0"/>
    <w:rsid w:val="005C3C7B"/>
    <w:rsid w:val="005C5B3A"/>
    <w:rsid w:val="005C7290"/>
    <w:rsid w:val="005D57CE"/>
    <w:rsid w:val="005F188B"/>
    <w:rsid w:val="005F3D46"/>
    <w:rsid w:val="00601F70"/>
    <w:rsid w:val="00620F46"/>
    <w:rsid w:val="00637D63"/>
    <w:rsid w:val="006408E0"/>
    <w:rsid w:val="00642D57"/>
    <w:rsid w:val="00651830"/>
    <w:rsid w:val="0068056C"/>
    <w:rsid w:val="006842B1"/>
    <w:rsid w:val="006850E8"/>
    <w:rsid w:val="00685C44"/>
    <w:rsid w:val="00695320"/>
    <w:rsid w:val="006A4D8E"/>
    <w:rsid w:val="006B037A"/>
    <w:rsid w:val="006B27D3"/>
    <w:rsid w:val="006B69FA"/>
    <w:rsid w:val="006B7985"/>
    <w:rsid w:val="006C7AB5"/>
    <w:rsid w:val="006D438D"/>
    <w:rsid w:val="006D6A97"/>
    <w:rsid w:val="006E09DB"/>
    <w:rsid w:val="006E3C21"/>
    <w:rsid w:val="006E649F"/>
    <w:rsid w:val="006F304C"/>
    <w:rsid w:val="00701A17"/>
    <w:rsid w:val="007022A4"/>
    <w:rsid w:val="00704291"/>
    <w:rsid w:val="007205C2"/>
    <w:rsid w:val="00721D82"/>
    <w:rsid w:val="00724D82"/>
    <w:rsid w:val="00727E8B"/>
    <w:rsid w:val="00733FF3"/>
    <w:rsid w:val="00740F4B"/>
    <w:rsid w:val="00752567"/>
    <w:rsid w:val="007555A4"/>
    <w:rsid w:val="00780F5B"/>
    <w:rsid w:val="007813DF"/>
    <w:rsid w:val="00792C0E"/>
    <w:rsid w:val="007A684F"/>
    <w:rsid w:val="007B573A"/>
    <w:rsid w:val="007C411B"/>
    <w:rsid w:val="007C476A"/>
    <w:rsid w:val="008016B2"/>
    <w:rsid w:val="00806084"/>
    <w:rsid w:val="00806445"/>
    <w:rsid w:val="00806CAC"/>
    <w:rsid w:val="0082226F"/>
    <w:rsid w:val="008354A3"/>
    <w:rsid w:val="008358CC"/>
    <w:rsid w:val="00841597"/>
    <w:rsid w:val="00842084"/>
    <w:rsid w:val="00842102"/>
    <w:rsid w:val="00855D02"/>
    <w:rsid w:val="008570C3"/>
    <w:rsid w:val="008575F2"/>
    <w:rsid w:val="00857A17"/>
    <w:rsid w:val="00870158"/>
    <w:rsid w:val="00874536"/>
    <w:rsid w:val="00883506"/>
    <w:rsid w:val="00891664"/>
    <w:rsid w:val="0089499A"/>
    <w:rsid w:val="008A38EB"/>
    <w:rsid w:val="008B15BF"/>
    <w:rsid w:val="008B5B5E"/>
    <w:rsid w:val="008C28FD"/>
    <w:rsid w:val="008E5126"/>
    <w:rsid w:val="008E72B6"/>
    <w:rsid w:val="008F27E6"/>
    <w:rsid w:val="008F6852"/>
    <w:rsid w:val="00900158"/>
    <w:rsid w:val="009065EE"/>
    <w:rsid w:val="009145CA"/>
    <w:rsid w:val="00923173"/>
    <w:rsid w:val="00950147"/>
    <w:rsid w:val="009675DA"/>
    <w:rsid w:val="00972766"/>
    <w:rsid w:val="009818DD"/>
    <w:rsid w:val="0098564E"/>
    <w:rsid w:val="00996695"/>
    <w:rsid w:val="009A1512"/>
    <w:rsid w:val="009E2641"/>
    <w:rsid w:val="009F3142"/>
    <w:rsid w:val="009F3979"/>
    <w:rsid w:val="00A1012A"/>
    <w:rsid w:val="00A205D8"/>
    <w:rsid w:val="00A42BC0"/>
    <w:rsid w:val="00A51C78"/>
    <w:rsid w:val="00A651FD"/>
    <w:rsid w:val="00A721C6"/>
    <w:rsid w:val="00A75A69"/>
    <w:rsid w:val="00A813EC"/>
    <w:rsid w:val="00A83CC2"/>
    <w:rsid w:val="00A84A4F"/>
    <w:rsid w:val="00AA373D"/>
    <w:rsid w:val="00AA5313"/>
    <w:rsid w:val="00AB579B"/>
    <w:rsid w:val="00AC5985"/>
    <w:rsid w:val="00AD1E10"/>
    <w:rsid w:val="00AE3541"/>
    <w:rsid w:val="00AE40C9"/>
    <w:rsid w:val="00B26C87"/>
    <w:rsid w:val="00B3444E"/>
    <w:rsid w:val="00B57C39"/>
    <w:rsid w:val="00B60DA5"/>
    <w:rsid w:val="00B61AE7"/>
    <w:rsid w:val="00B62CDF"/>
    <w:rsid w:val="00B65F2E"/>
    <w:rsid w:val="00B7100B"/>
    <w:rsid w:val="00B80B52"/>
    <w:rsid w:val="00BA0064"/>
    <w:rsid w:val="00BA1AE9"/>
    <w:rsid w:val="00BA1E2C"/>
    <w:rsid w:val="00BB0E48"/>
    <w:rsid w:val="00BB6EAB"/>
    <w:rsid w:val="00BC6D7D"/>
    <w:rsid w:val="00BD0CB3"/>
    <w:rsid w:val="00BD2327"/>
    <w:rsid w:val="00BD6FDD"/>
    <w:rsid w:val="00BE3895"/>
    <w:rsid w:val="00BE702A"/>
    <w:rsid w:val="00BF6E9F"/>
    <w:rsid w:val="00C134F0"/>
    <w:rsid w:val="00C51527"/>
    <w:rsid w:val="00C5490D"/>
    <w:rsid w:val="00C55C9C"/>
    <w:rsid w:val="00C57263"/>
    <w:rsid w:val="00C624B4"/>
    <w:rsid w:val="00C6567E"/>
    <w:rsid w:val="00C703E1"/>
    <w:rsid w:val="00C7445B"/>
    <w:rsid w:val="00CB640F"/>
    <w:rsid w:val="00CC025F"/>
    <w:rsid w:val="00CC6672"/>
    <w:rsid w:val="00CC703C"/>
    <w:rsid w:val="00CC7E81"/>
    <w:rsid w:val="00CD7367"/>
    <w:rsid w:val="00CE02BA"/>
    <w:rsid w:val="00D04549"/>
    <w:rsid w:val="00D1650B"/>
    <w:rsid w:val="00D267B4"/>
    <w:rsid w:val="00D30981"/>
    <w:rsid w:val="00D41F5E"/>
    <w:rsid w:val="00D4270E"/>
    <w:rsid w:val="00D637F8"/>
    <w:rsid w:val="00D71188"/>
    <w:rsid w:val="00DA094D"/>
    <w:rsid w:val="00DA6B15"/>
    <w:rsid w:val="00DA788B"/>
    <w:rsid w:val="00DB4A82"/>
    <w:rsid w:val="00DC3E80"/>
    <w:rsid w:val="00E02B7F"/>
    <w:rsid w:val="00E13F74"/>
    <w:rsid w:val="00E15BA5"/>
    <w:rsid w:val="00E33417"/>
    <w:rsid w:val="00E51B12"/>
    <w:rsid w:val="00E57F02"/>
    <w:rsid w:val="00E749EC"/>
    <w:rsid w:val="00E87D19"/>
    <w:rsid w:val="00EA7AB2"/>
    <w:rsid w:val="00EB3E3A"/>
    <w:rsid w:val="00EC5943"/>
    <w:rsid w:val="00EC6E9F"/>
    <w:rsid w:val="00EC7C46"/>
    <w:rsid w:val="00ED1ADB"/>
    <w:rsid w:val="00ED77E9"/>
    <w:rsid w:val="00F036B8"/>
    <w:rsid w:val="00F1684A"/>
    <w:rsid w:val="00F24460"/>
    <w:rsid w:val="00F26BBB"/>
    <w:rsid w:val="00F3252E"/>
    <w:rsid w:val="00F372E7"/>
    <w:rsid w:val="00F427F6"/>
    <w:rsid w:val="00F51831"/>
    <w:rsid w:val="00F67792"/>
    <w:rsid w:val="00F820D4"/>
    <w:rsid w:val="00F839EA"/>
    <w:rsid w:val="00F9528F"/>
    <w:rsid w:val="00FA693E"/>
    <w:rsid w:val="00FB36E9"/>
    <w:rsid w:val="00FC4DCC"/>
    <w:rsid w:val="00FD2852"/>
    <w:rsid w:val="00FE0027"/>
    <w:rsid w:val="00FF46BF"/>
    <w:rsid w:val="00FF7F57"/>
    <w:rsid w:val="03AA7725"/>
    <w:rsid w:val="04C95B28"/>
    <w:rsid w:val="068F17CC"/>
    <w:rsid w:val="079956A8"/>
    <w:rsid w:val="08212E5F"/>
    <w:rsid w:val="086E0EBF"/>
    <w:rsid w:val="08BB1159"/>
    <w:rsid w:val="09C67350"/>
    <w:rsid w:val="0A8F5A8C"/>
    <w:rsid w:val="0ABB3FCD"/>
    <w:rsid w:val="0D731052"/>
    <w:rsid w:val="0E462DF9"/>
    <w:rsid w:val="0EE61FC0"/>
    <w:rsid w:val="0FF629CA"/>
    <w:rsid w:val="103E5A9F"/>
    <w:rsid w:val="10896036"/>
    <w:rsid w:val="11E278A8"/>
    <w:rsid w:val="14063951"/>
    <w:rsid w:val="14E14622"/>
    <w:rsid w:val="14E36E91"/>
    <w:rsid w:val="15AB207B"/>
    <w:rsid w:val="15C67C0D"/>
    <w:rsid w:val="16054A21"/>
    <w:rsid w:val="16C357BC"/>
    <w:rsid w:val="16DE00F9"/>
    <w:rsid w:val="177F4102"/>
    <w:rsid w:val="18352865"/>
    <w:rsid w:val="18FC1BCA"/>
    <w:rsid w:val="19BB7AF6"/>
    <w:rsid w:val="1A0A7064"/>
    <w:rsid w:val="1A243092"/>
    <w:rsid w:val="1B870A03"/>
    <w:rsid w:val="1CA21943"/>
    <w:rsid w:val="1D9A201E"/>
    <w:rsid w:val="1DB151BE"/>
    <w:rsid w:val="1E217989"/>
    <w:rsid w:val="1E6950E0"/>
    <w:rsid w:val="1E7E0D7B"/>
    <w:rsid w:val="1F1B3107"/>
    <w:rsid w:val="2004398B"/>
    <w:rsid w:val="20502A73"/>
    <w:rsid w:val="20ED01AD"/>
    <w:rsid w:val="214449B6"/>
    <w:rsid w:val="220B5CF5"/>
    <w:rsid w:val="22901EE3"/>
    <w:rsid w:val="22AF34F0"/>
    <w:rsid w:val="265000E7"/>
    <w:rsid w:val="267F3B70"/>
    <w:rsid w:val="26E84FFA"/>
    <w:rsid w:val="28A118EA"/>
    <w:rsid w:val="28E02FA4"/>
    <w:rsid w:val="2AB25318"/>
    <w:rsid w:val="2B7548A9"/>
    <w:rsid w:val="2B8B0BD3"/>
    <w:rsid w:val="2BAE1FCD"/>
    <w:rsid w:val="2C8940D9"/>
    <w:rsid w:val="2C9F3A8D"/>
    <w:rsid w:val="2DC8457E"/>
    <w:rsid w:val="2E12352C"/>
    <w:rsid w:val="322716EA"/>
    <w:rsid w:val="322B2C50"/>
    <w:rsid w:val="32CE7368"/>
    <w:rsid w:val="330E0BB1"/>
    <w:rsid w:val="33883B76"/>
    <w:rsid w:val="34936463"/>
    <w:rsid w:val="35352A10"/>
    <w:rsid w:val="36B77518"/>
    <w:rsid w:val="36E8336E"/>
    <w:rsid w:val="381B30F8"/>
    <w:rsid w:val="39111860"/>
    <w:rsid w:val="391456AE"/>
    <w:rsid w:val="3A4A629A"/>
    <w:rsid w:val="3ACF1920"/>
    <w:rsid w:val="3C871B9B"/>
    <w:rsid w:val="3E061DB7"/>
    <w:rsid w:val="3E2C788D"/>
    <w:rsid w:val="3FAF2170"/>
    <w:rsid w:val="402C7FC4"/>
    <w:rsid w:val="40917C5D"/>
    <w:rsid w:val="41585A6E"/>
    <w:rsid w:val="44067FC4"/>
    <w:rsid w:val="44FF6833"/>
    <w:rsid w:val="45D70287"/>
    <w:rsid w:val="46771522"/>
    <w:rsid w:val="47313F41"/>
    <w:rsid w:val="474059DF"/>
    <w:rsid w:val="48E72B20"/>
    <w:rsid w:val="4A6532F8"/>
    <w:rsid w:val="4B290DF7"/>
    <w:rsid w:val="4D904904"/>
    <w:rsid w:val="4DF623C4"/>
    <w:rsid w:val="4E255EBB"/>
    <w:rsid w:val="4E2E6AE2"/>
    <w:rsid w:val="4E716B6E"/>
    <w:rsid w:val="4F6C7603"/>
    <w:rsid w:val="52CE0FEE"/>
    <w:rsid w:val="52F07201"/>
    <w:rsid w:val="5372530D"/>
    <w:rsid w:val="53CA4875"/>
    <w:rsid w:val="54A21FC2"/>
    <w:rsid w:val="54A37BFA"/>
    <w:rsid w:val="557A1D72"/>
    <w:rsid w:val="56883AA4"/>
    <w:rsid w:val="568A3962"/>
    <w:rsid w:val="57051301"/>
    <w:rsid w:val="57FF56C7"/>
    <w:rsid w:val="58A77245"/>
    <w:rsid w:val="58C10189"/>
    <w:rsid w:val="59646208"/>
    <w:rsid w:val="59A42AA9"/>
    <w:rsid w:val="5A61618A"/>
    <w:rsid w:val="5B187074"/>
    <w:rsid w:val="5BC226EA"/>
    <w:rsid w:val="5C0420BE"/>
    <w:rsid w:val="5E104324"/>
    <w:rsid w:val="5E262E36"/>
    <w:rsid w:val="5E3C23D2"/>
    <w:rsid w:val="5E710D11"/>
    <w:rsid w:val="5E7C6BBE"/>
    <w:rsid w:val="5EEC2D3D"/>
    <w:rsid w:val="5F907F86"/>
    <w:rsid w:val="605D7480"/>
    <w:rsid w:val="60D64A77"/>
    <w:rsid w:val="631D472A"/>
    <w:rsid w:val="63664172"/>
    <w:rsid w:val="636D6363"/>
    <w:rsid w:val="64126CFD"/>
    <w:rsid w:val="64382C7D"/>
    <w:rsid w:val="646143A6"/>
    <w:rsid w:val="64C20E0E"/>
    <w:rsid w:val="675B3344"/>
    <w:rsid w:val="675E0BC3"/>
    <w:rsid w:val="67672DDE"/>
    <w:rsid w:val="67836E0F"/>
    <w:rsid w:val="683D3AD0"/>
    <w:rsid w:val="68B95F9F"/>
    <w:rsid w:val="68F53339"/>
    <w:rsid w:val="69064978"/>
    <w:rsid w:val="696361FC"/>
    <w:rsid w:val="6AB7066B"/>
    <w:rsid w:val="6AD47BB3"/>
    <w:rsid w:val="6B7402EB"/>
    <w:rsid w:val="6CC847E8"/>
    <w:rsid w:val="6D321474"/>
    <w:rsid w:val="6E2B5726"/>
    <w:rsid w:val="6EB91A71"/>
    <w:rsid w:val="6F316DC9"/>
    <w:rsid w:val="70137816"/>
    <w:rsid w:val="72113744"/>
    <w:rsid w:val="72342D5A"/>
    <w:rsid w:val="725D160D"/>
    <w:rsid w:val="72A53CDC"/>
    <w:rsid w:val="73BB61C4"/>
    <w:rsid w:val="74946DC9"/>
    <w:rsid w:val="74ED5CAD"/>
    <w:rsid w:val="758E4820"/>
    <w:rsid w:val="77AE2CD4"/>
    <w:rsid w:val="7851104F"/>
    <w:rsid w:val="78F93BF2"/>
    <w:rsid w:val="7A943C30"/>
    <w:rsid w:val="7ABD5452"/>
    <w:rsid w:val="7ACF5D26"/>
    <w:rsid w:val="7BD33222"/>
    <w:rsid w:val="7C1C367E"/>
    <w:rsid w:val="7CC13802"/>
    <w:rsid w:val="7CE44446"/>
    <w:rsid w:val="7D78098D"/>
    <w:rsid w:val="7DDA5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99"/>
    <w:pPr>
      <w:spacing w:before="240" w:after="60"/>
      <w:jc w:val="center"/>
      <w:outlineLvl w:val="0"/>
    </w:pPr>
    <w:rPr>
      <w:rFonts w:ascii="Cambria" w:hAnsi="Cambria" w:cs="Cambria"/>
      <w:b/>
      <w:bCs/>
      <w:kern w:val="0"/>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imes New Roman" w:hAnsi="Times New Roman" w:eastAsia="宋体" w:cs="Times New Roman"/>
      <w:lang w:val="en-US" w:eastAsia="zh-CN" w:bidi="ar-SA"/>
    </w:rPr>
  </w:style>
  <w:style w:type="character" w:customStyle="1" w:styleId="10">
    <w:name w:val="（一） Char"/>
    <w:link w:val="11"/>
    <w:qFormat/>
    <w:uiPriority w:val="0"/>
    <w:rPr>
      <w:rFonts w:eastAsia="方正兰亭黑简体"/>
      <w:kern w:val="2"/>
      <w:sz w:val="24"/>
      <w:szCs w:val="26"/>
    </w:rPr>
  </w:style>
  <w:style w:type="paragraph" w:customStyle="1" w:styleId="11">
    <w:name w:val="（一）"/>
    <w:link w:val="10"/>
    <w:qFormat/>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 w:type="paragraph" w:customStyle="1" w:styleId="12">
    <w:name w:val="表内字居中"/>
    <w:basedOn w:val="13"/>
    <w:qFormat/>
    <w:uiPriority w:val="0"/>
    <w:pPr>
      <w:spacing w:line="240" w:lineRule="auto"/>
      <w:ind w:firstLine="0" w:firstLineChars="0"/>
      <w:jc w:val="center"/>
    </w:pPr>
    <w:rPr>
      <w:rFonts w:ascii="方正兰亭宋_GBK" w:eastAsia="方正兰亭宋_GBK"/>
      <w:sz w:val="18"/>
      <w:szCs w:val="18"/>
    </w:rPr>
  </w:style>
  <w:style w:type="paragraph" w:customStyle="1" w:styleId="13">
    <w:name w:val="内文"/>
    <w:basedOn w:val="1"/>
    <w:qFormat/>
    <w:uiPriority w:val="0"/>
    <w:pPr>
      <w:ind w:firstLine="4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0300-8598-4D53-B368-5EFC45A2285D}">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15</Pages>
  <Words>1564</Words>
  <Characters>1580</Characters>
  <Lines>56</Lines>
  <Paragraphs>15</Paragraphs>
  <TotalTime>10</TotalTime>
  <ScaleCrop>false</ScaleCrop>
  <LinksUpToDate>false</LinksUpToDate>
  <CharactersWithSpaces>1580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2020-01-10T00:39:00Z</dcterms:created>
  <dc:creator>Administrator</dc:creator>
  <cp:lastModifiedBy>安安宝贝</cp:lastModifiedBy>
  <dcterms:modified xsi:type="dcterms:W3CDTF">2025-09-11T07:43:36Z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vt:lpwstr>6</vt:lpwstr>
  </property>
  <property fmtid="{D5CDD505-2E9C-101B-9397-08002B2CF9AE}" pid="4" name="ICV">
    <vt:lpwstr>461776D596B14B45B23CA5AB4D9EE119</vt:lpwstr>
  </property>
  <property fmtid="{D5CDD505-2E9C-101B-9397-08002B2CF9AE}" pid="5" name="KSOTemplateDocerSaveRecord">
    <vt:lpwstr>eyJoZGlkIjoiYjhkZTFiN2I5ZTY3ZmE4OWE4ODBlZTc4ZmNlYjFhZDYiLCJ1c2VySWQiOiI1NDA3NDY4OTUifQ==</vt:lpwstr>
  </property>
</Properties>
</file>